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7CE5CD3" Type="http://schemas.openxmlformats.org/officeDocument/2006/relationships/officeDocument" Target="/word/document.xml" /><Relationship Id="coreR67CE5CD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Measure</w:t>
            </w:r>
          </w:p>
        </w:tc>
      </w:tr>
      <w:tr>
        <w:tc>
          <w:tcPr>
            <w:tcW w:w="1000" w:type="pct"/>
            <w:vAlign w:val="center"/>
          </w:tcPr>
          <w:p>
            <w:pPr>
              <w:spacing w:before="240" w:after="240"/>
              <w:ind w:left="0" w:right="0"/>
              <w:rPr>
                <w:rFonts w:ascii="Arial" w:hAnsi="Arial"/>
                <w:sz w:val="21"/>
              </w:rPr>
            </w:pPr>
            <w:r>
              <w:rPr>
                <w:rFonts w:ascii="Arial" w:hAnsi="Arial"/>
                <w:b w:val="1"/>
                <w:sz w:val="21"/>
              </w:rPr>
              <w:t>Protocol Id</w:t>
            </w:r>
          </w:p>
        </w:tc>
        <w:tc>
          <w:tcPr>
            <w:tcW w:w="0" w:type="auto"/>
            <w:vAlign w:val="center"/>
          </w:tcPr>
          <w:p>
            <w:pPr>
              <w:spacing w:before="240" w:after="240"/>
              <w:ind w:left="0" w:right="0"/>
              <w:rPr>
                <w:rFonts w:ascii="Arial" w:hAnsi="Arial"/>
                <w:sz w:val="21"/>
              </w:rPr>
            </w:pPr>
            <w:r>
              <w:rPr>
                <w:rFonts w:ascii="Arial" w:hAnsi="Arial"/>
                <w:sz w:val="21"/>
              </w:rPr>
              <w:t>710501</w:t>
            </w:r>
          </w:p>
        </w:tc>
      </w:tr>
      <w:tr>
        <w:tc>
          <w:tcPr>
            <w:tcW w:w="1000" w:type="pct"/>
            <w:vAlign w:val="center"/>
          </w:tcPr>
          <w:p>
            <w:pPr>
              <w:spacing w:before="240" w:after="240"/>
              <w:ind w:left="0" w:right="0"/>
              <w:rPr>
                <w:rFonts w:ascii="Arial" w:hAnsi="Arial"/>
                <w:sz w:val="21"/>
              </w:rPr>
            </w:pPr>
            <w:r>
              <w:rPr>
                <w:rFonts w:ascii="Arial" w:hAnsi="Arial"/>
                <w:b w:val="1"/>
                <w:sz w:val="21"/>
              </w:rPr>
              <w:t>Domain:</w:t>
            </w:r>
          </w:p>
        </w:tc>
        <w:tc>
          <w:tcPr>
            <w:tcW w:w="0" w:type="auto"/>
            <w:vAlign w:val="center"/>
          </w:tcPr>
          <w:p>
            <w:pPr>
              <w:ind w:left="0" w:right="0"/>
            </w:pPr>
            <w:r>
              <w:rPr>
                <w:rFonts w:ascii="Arial" w:hAnsi="Arial"/>
                <w:sz w:val="21"/>
              </w:rPr>
              <w:t xml:space="preserve">Tobacco Regulatory Research - Host: Social/Cognitive </w:t>
            </w:r>
          </w:p>
        </w:tc>
      </w:tr>
      <w:tr>
        <w:tc>
          <w:tcPr>
            <w:tcW w:w="1000" w:type="pct"/>
            <w:vAlign w:val="center"/>
          </w:tcPr>
          <w:p>
            <w:pPr>
              <w:spacing w:before="240" w:after="240"/>
              <w:ind w:left="0" w:right="0"/>
              <w:rPr>
                <w:rFonts w:ascii="Arial" w:hAnsi="Arial"/>
                <w:sz w:val="21"/>
              </w:rPr>
            </w:pPr>
            <w:r>
              <w:rPr>
                <w:rFonts w:ascii="Arial" w:hAnsi="Arial"/>
                <w:b w:val="1"/>
                <w:sz w:val="21"/>
              </w:rPr>
              <w:t>Measure:</w:t>
            </w:r>
          </w:p>
        </w:tc>
        <w:tc>
          <w:tcPr>
            <w:tcW w:w="0" w:type="auto"/>
            <w:vAlign w:val="center"/>
          </w:tcPr>
          <w:p>
            <w:pPr>
              <w:ind w:left="0" w:right="0"/>
            </w:pPr>
            <w:r>
              <w:rPr>
                <w:rFonts w:ascii="Arial" w:hAnsi="Arial"/>
                <w:sz w:val="21"/>
              </w:rPr>
              <w:t xml:space="preserve">Motivation to Quit </w:t>
            </w:r>
          </w:p>
        </w:tc>
      </w:tr>
      <w:tr>
        <w:tc>
          <w:tcPr>
            <w:tcW w:w="1000" w:type="pct"/>
            <w:vAlign w:val="center"/>
          </w:tcPr>
          <w:p>
            <w:pPr>
              <w:spacing w:before="240" w:after="240"/>
              <w:ind w:left="0" w:right="0"/>
              <w:rPr>
                <w:rFonts w:ascii="Arial" w:hAnsi="Arial"/>
                <w:sz w:val="21"/>
              </w:rPr>
            </w:pPr>
            <w:r>
              <w:rPr>
                <w:rFonts w:ascii="Arial" w:hAnsi="Arial"/>
                <w:b w:val="1"/>
                <w:sz w:val="21"/>
              </w:rPr>
              <w:t>Definition:</w:t>
            </w:r>
          </w:p>
        </w:tc>
        <w:tc>
          <w:tcPr>
            <w:tcW w:w="0" w:type="auto"/>
            <w:vAlign w:val="center"/>
          </w:tcPr>
          <w:p>
            <w:pPr>
              <w:ind w:left="0" w:right="0"/>
            </w:pPr>
            <w:r>
              <w:rPr>
                <w:rFonts w:ascii="Arial" w:hAnsi="Arial"/>
                <w:sz w:val="21"/>
              </w:rPr>
              <w:t xml:space="preserve">This item provides either single or multiple item protocols as quantitative measures of a smoker's motivation to quit. </w:t>
            </w:r>
          </w:p>
        </w:tc>
      </w:tr>
      <w:tr>
        <w:tc>
          <w:tcPr>
            <w:tcW w:w="1000" w:type="pct"/>
            <w:vAlign w:val="center"/>
          </w:tcPr>
          <w:p>
            <w:pPr>
              <w:spacing w:before="240" w:after="240"/>
              <w:ind w:left="0" w:right="0"/>
              <w:rPr>
                <w:rFonts w:ascii="Arial" w:hAnsi="Arial"/>
                <w:sz w:val="21"/>
              </w:rPr>
            </w:pPr>
            <w:r>
              <w:rPr>
                <w:rFonts w:ascii="Arial" w:hAnsi="Arial"/>
                <w:b w:val="1"/>
                <w:sz w:val="21"/>
              </w:rPr>
              <w:t>Purpose:</w:t>
            </w:r>
          </w:p>
        </w:tc>
        <w:tc>
          <w:tcPr>
            <w:tcW w:w="0" w:type="auto"/>
            <w:vAlign w:val="center"/>
          </w:tcPr>
          <w:p>
            <w:pPr>
              <w:ind w:left="0" w:right="0"/>
            </w:pPr>
            <w:r>
              <w:rPr>
                <w:rFonts w:ascii="Arial" w:hAnsi="Arial"/>
                <w:sz w:val="21"/>
              </w:rPr>
              <w:t xml:space="preserve">These items assess the respondent's motivation to quit smoking. </w:t>
            </w:r>
          </w:p>
        </w:tc>
      </w:tr>
      <w:tr>
        <w:tc>
          <w:tcPr>
            <w:tcW w:w="1000" w:type="pct"/>
            <w:vAlign w:val="center"/>
          </w:tcPr>
          <w:p>
            <w:pPr>
              <w:spacing w:before="240" w:after="240"/>
              <w:ind w:left="0" w:right="0"/>
              <w:rPr>
                <w:rFonts w:ascii="Arial" w:hAnsi="Arial"/>
                <w:sz w:val="21"/>
              </w:rPr>
            </w:pPr>
            <w:r>
              <w:rPr>
                <w:rFonts w:ascii="Arial" w:hAnsi="Arial"/>
                <w:b w:val="1"/>
                <w:sz w:val="21"/>
              </w:rPr>
              <w:t>Essential PhenX Protocols:</w:t>
            </w:r>
          </w:p>
        </w:tc>
        <w:tc>
          <w:tcPr>
            <w:tcW w:w="0" w:type="auto"/>
            <w:vAlign w:val="center"/>
          </w:tcPr>
          <w:p>
            <w:pPr>
              <w:ind w:left="0" w:right="0"/>
            </w:pPr>
            <w:r>
              <w:rPr>
                <w:rFonts w:ascii="Arial" w:hAnsi="Arial"/>
                <w:sz w:val="21"/>
              </w:rPr>
              <w:t>Cigarette Smoking Status - Adolescent [30603]</w:t>
              <w:br w:type="textWrapping"/>
              <w:t xml:space="preserve">Cigarette Smoking Status - Adult [30604] </w:t>
            </w:r>
          </w:p>
        </w:tc>
      </w:tr>
      <w:tr>
        <w:tc>
          <w:tcPr>
            <w:tcW w:w="1000" w:type="pct"/>
            <w:vAlign w:val="center"/>
          </w:tcPr>
          <w:p>
            <w:pPr>
              <w:spacing w:before="240" w:after="240"/>
              <w:ind w:left="0" w:right="0"/>
              <w:rPr>
                <w:rFonts w:ascii="Arial" w:hAnsi="Arial"/>
                <w:sz w:val="21"/>
              </w:rPr>
            </w:pPr>
            <w:r>
              <w:rPr>
                <w:rFonts w:ascii="Arial" w:hAnsi="Arial"/>
                <w:b w:val="1"/>
                <w:sz w:val="21"/>
              </w:rPr>
              <w:t>Related PhenX Protocols:</w:t>
            </w:r>
          </w:p>
        </w:tc>
        <w:tc>
          <w:tcPr>
            <w:tcW w:w="0" w:type="auto"/>
            <w:vAlign w:val="center"/>
          </w:tcPr>
          <w:p>
            <w:pPr>
              <w:ind w:left="0" w:right="0"/>
            </w:pPr>
            <w:r>
              <w:rPr>
                <w:rFonts w:ascii="Arial" w:hAnsi="Arial"/>
                <w:sz w:val="21"/>
              </w:rPr>
              <w:t xml:space="preserve">Smoking Quit Attempts [71001] </w:t>
            </w:r>
          </w:p>
        </w:tc>
      </w:tr>
      <w:tr>
        <w:tc>
          <w:tcPr>
            <w:tcW w:w="1000" w:type="pct"/>
            <w:vAlign w:val="center"/>
          </w:tcPr>
          <w:p>
            <w:pPr>
              <w:spacing w:before="240" w:after="240"/>
              <w:ind w:left="0" w:right="0"/>
              <w:rPr>
                <w:rFonts w:ascii="Arial" w:hAnsi="Arial"/>
                <w:sz w:val="21"/>
              </w:rPr>
            </w:pPr>
            <w:r>
              <w:rPr>
                <w:rFonts w:ascii="Arial" w:hAnsi="Arial"/>
                <w:b w:val="1"/>
                <w:sz w:val="21"/>
              </w:rPr>
              <w:t>Measure Release Date:</w:t>
            </w:r>
          </w:p>
        </w:tc>
        <w:tc>
          <w:tcPr>
            <w:tcW w:w="0" w:type="auto"/>
            <w:vAlign w:val="center"/>
          </w:tcPr>
          <w:p>
            <w:pPr>
              <w:ind w:left="0" w:right="0"/>
            </w:pPr>
            <w:r>
              <w:rPr>
                <w:rFonts w:ascii="Arial" w:hAnsi="Arial"/>
                <w:sz w:val="21"/>
              </w:rPr>
              <w:t xml:space="preserve">February 20, 2015 </w:t>
            </w:r>
          </w:p>
        </w:tc>
      </w:tr>
    </w:tbl>
    <w:p>
      <w:pPr>
        <w:spacing w:before="0" w:after="0"/>
        <w:ind w:firstLine="0" w:left="0" w:right="0"/>
      </w:pPr>
      <w:r>
        <w:br w:type="textWrapping"/>
      </w:r>
    </w:p>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Protocol</w:t>
            </w:r>
          </w:p>
        </w:tc>
      </w:tr>
      <w:tr>
        <w:tc>
          <w:tcPr>
            <w:tcW w:w="1000" w:type="pct"/>
            <w:vAlign w:val="center"/>
          </w:tcPr>
          <w:p>
            <w:pPr>
              <w:spacing w:before="240" w:after="240"/>
              <w:ind w:left="0" w:right="0"/>
              <w:rPr>
                <w:rFonts w:ascii="Arial" w:hAnsi="Arial"/>
                <w:sz w:val="21"/>
              </w:rPr>
            </w:pPr>
            <w:r>
              <w:rPr>
                <w:rFonts w:ascii="Arial" w:hAnsi="Arial"/>
                <w:b w:val="1"/>
                <w:sz w:val="21"/>
              </w:rPr>
              <w:t>Protocol Release Date:</w:t>
            </w:r>
          </w:p>
        </w:tc>
        <w:tc>
          <w:tcPr>
            <w:tcW w:w="0" w:type="auto"/>
            <w:vAlign w:val="center"/>
          </w:tcPr>
          <w:p>
            <w:pPr>
              <w:ind w:left="0" w:right="0"/>
            </w:pPr>
            <w:r>
              <w:rPr>
                <w:rFonts w:ascii="Arial" w:hAnsi="Arial"/>
                <w:sz w:val="21"/>
              </w:rPr>
              <w:t xml:space="preserve">February 20, 2015 </w:t>
            </w:r>
          </w:p>
        </w:tc>
      </w:tr>
      <w:tr>
        <w:tc>
          <w:tcPr>
            <w:tcW w:w="1000" w:type="pct"/>
            <w:vAlign w:val="center"/>
          </w:tcPr>
          <w:p>
            <w:pPr>
              <w:spacing w:before="240" w:after="240"/>
              <w:ind w:left="0" w:right="0"/>
              <w:rPr>
                <w:rFonts w:ascii="Arial" w:hAnsi="Arial"/>
                <w:sz w:val="21"/>
              </w:rPr>
            </w:pPr>
            <w:r>
              <w:rPr>
                <w:rFonts w:ascii="Arial" w:hAnsi="Arial"/>
                <w:b w:val="1"/>
                <w:sz w:val="21"/>
              </w:rPr>
              <w:t>Protocol Review Date:</w:t>
            </w:r>
          </w:p>
        </w:tc>
        <w:tc>
          <w:tcPr>
            <w:tcW w:w="0" w:type="auto"/>
            <w:vAlign w:val="center"/>
          </w:tcPr>
          <w:p>
            <w:pPr>
              <w:ind w:left="0" w:right="0"/>
            </w:pPr>
            <w:r>
              <w:rPr>
                <w:rFonts w:ascii="Arial" w:hAnsi="Arial"/>
                <w:sz w:val="21"/>
              </w:rPr>
              <w:t xml:space="preserve">February 20, 2015 </w:t>
            </w:r>
          </w:p>
        </w:tc>
      </w:tr>
      <w:tr>
        <w:tc>
          <w:tcPr>
            <w:tcW w:w="1000" w:type="pct"/>
            <w:vAlign w:val="center"/>
          </w:tcPr>
          <w:p>
            <w:pPr>
              <w:spacing w:before="240" w:after="240"/>
              <w:ind w:left="0" w:right="0"/>
              <w:rPr>
                <w:rFonts w:ascii="Arial" w:hAnsi="Arial"/>
                <w:sz w:val="21"/>
              </w:rPr>
            </w:pPr>
            <w:r>
              <w:rPr>
                <w:rFonts w:ascii="Arial" w:hAnsi="Arial"/>
                <w:b w:val="1"/>
                <w:sz w:val="21"/>
              </w:rPr>
              <w:t>PhenX Protocol Name:</w:t>
            </w:r>
          </w:p>
        </w:tc>
        <w:tc>
          <w:tcPr>
            <w:tcW w:w="0" w:type="auto"/>
            <w:vAlign w:val="center"/>
          </w:tcPr>
          <w:p>
            <w:pPr>
              <w:ind w:left="0" w:right="0"/>
            </w:pPr>
            <w:r>
              <w:rPr>
                <w:rFonts w:ascii="Arial" w:hAnsi="Arial"/>
                <w:sz w:val="21"/>
              </w:rPr>
              <w:t xml:space="preserve">Motivation to Quit - Single Item </w:t>
            </w:r>
          </w:p>
        </w:tc>
      </w:tr>
      <w:tr>
        <w:tc>
          <w:tcPr>
            <w:tcW w:w="1000" w:type="pct"/>
            <w:vAlign w:val="center"/>
          </w:tcPr>
          <w:p>
            <w:pPr>
              <w:spacing w:before="240" w:after="240"/>
              <w:ind w:left="0" w:right="0"/>
              <w:rPr>
                <w:rFonts w:ascii="Arial" w:hAnsi="Arial"/>
                <w:sz w:val="21"/>
              </w:rPr>
            </w:pPr>
            <w:r>
              <w:rPr>
                <w:rFonts w:ascii="Arial" w:hAnsi="Arial"/>
                <w:b w:val="1"/>
                <w:sz w:val="21"/>
              </w:rPr>
              <w:t>Protocol Name From Source:</w:t>
            </w:r>
          </w:p>
        </w:tc>
        <w:tc>
          <w:tcPr>
            <w:tcW w:w="0" w:type="auto"/>
            <w:vAlign w:val="center"/>
          </w:tcPr>
          <w:p>
            <w:pPr>
              <w:ind w:left="0" w:right="0"/>
            </w:pPr>
            <w:r>
              <w:rPr>
                <w:rFonts w:ascii="Arial" w:hAnsi="Arial"/>
                <w:sz w:val="21"/>
              </w:rPr>
              <w:t xml:space="preserve">Turner, L.R., et al. Motivation and reasons to quit: Predictive validity among adolescent smokers. AM J HEALTH BEHAV, 2004 </w:t>
            </w:r>
          </w:p>
        </w:tc>
      </w:tr>
      <w:tr>
        <w:tc>
          <w:tcPr>
            <w:tcW w:w="1000" w:type="pct"/>
            <w:vAlign w:val="center"/>
          </w:tcPr>
          <w:p>
            <w:pPr>
              <w:spacing w:before="240" w:after="240"/>
              <w:ind w:left="0" w:right="0"/>
              <w:rPr>
                <w:rFonts w:ascii="Arial" w:hAnsi="Arial"/>
                <w:sz w:val="21"/>
              </w:rPr>
            </w:pPr>
            <w:r>
              <w:rPr>
                <w:rFonts w:ascii="Arial" w:hAnsi="Arial"/>
                <w:b w:val="1"/>
                <w:sz w:val="21"/>
              </w:rPr>
              <w:t>Protocol Availability:</w:t>
            </w:r>
          </w:p>
        </w:tc>
        <w:tc>
          <w:tcPr>
            <w:tcW w:w="0" w:type="auto"/>
            <w:vAlign w:val="center"/>
          </w:tcPr>
          <w:p>
            <w:pPr>
              <w:ind w:left="0" w:right="0"/>
            </w:pPr>
            <w:r>
              <w:rPr>
                <w:rFonts w:ascii="Arial" w:hAnsi="Arial"/>
                <w:sz w:val="21"/>
              </w:rPr>
              <w:t xml:space="preserve">Available </w:t>
            </w:r>
          </w:p>
        </w:tc>
      </w:tr>
      <w:tr>
        <w:tc>
          <w:tcPr>
            <w:tcW w:w="1000" w:type="pct"/>
            <w:vAlign w:val="center"/>
          </w:tcPr>
          <w:p>
            <w:pPr>
              <w:spacing w:before="240" w:after="240"/>
              <w:ind w:left="0" w:right="0"/>
              <w:rPr>
                <w:rFonts w:ascii="Arial" w:hAnsi="Arial"/>
                <w:sz w:val="21"/>
              </w:rPr>
            </w:pPr>
            <w:r>
              <w:rPr>
                <w:rFonts w:ascii="Arial" w:hAnsi="Arial"/>
                <w:b w:val="1"/>
                <w:sz w:val="21"/>
              </w:rPr>
              <w:t>Keywords:</w:t>
            </w:r>
          </w:p>
        </w:tc>
        <w:tc>
          <w:tcPr>
            <w:tcW w:w="0" w:type="auto"/>
            <w:vAlign w:val="center"/>
          </w:tcPr>
          <w:p>
            <w:pPr>
              <w:ind w:left="0" w:right="0"/>
            </w:pPr>
            <w:r>
              <w:rPr>
                <w:rFonts w:ascii="Arial" w:hAnsi="Arial"/>
                <w:sz w:val="21"/>
              </w:rPr>
              <w:t xml:space="preserve">Smoking quit attempts; quitting smoking; motivation to quit smoking; Motivation; Smoking Cessation </w:t>
            </w:r>
          </w:p>
        </w:tc>
      </w:tr>
      <w:tr>
        <w:tc>
          <w:tcPr>
            <w:tcW w:w="1000" w:type="pct"/>
            <w:vAlign w:val="center"/>
          </w:tcPr>
          <w:p>
            <w:pPr>
              <w:spacing w:before="240" w:after="240"/>
              <w:ind w:left="0" w:right="0"/>
              <w:rPr>
                <w:rFonts w:ascii="Arial" w:hAnsi="Arial"/>
                <w:sz w:val="21"/>
              </w:rPr>
            </w:pPr>
            <w:r>
              <w:rPr>
                <w:rFonts w:ascii="Arial" w:hAnsi="Arial"/>
                <w:b w:val="1"/>
                <w:sz w:val="21"/>
              </w:rPr>
              <w:t>Description:</w:t>
            </w:r>
          </w:p>
        </w:tc>
        <w:tc>
          <w:tcPr>
            <w:tcW w:w="0" w:type="auto"/>
            <w:vAlign w:val="center"/>
          </w:tcPr>
          <w:p>
            <w:pPr>
              <w:spacing w:before="240" w:after="240"/>
              <w:ind w:left="0" w:right="0"/>
              <w:rPr>
                <w:rFonts w:ascii="Arial" w:hAnsi="Arial"/>
                <w:sz w:val="21"/>
              </w:rPr>
            </w:pPr>
            <w:r>
              <w:rPr>
                <w:rFonts w:ascii="Arial" w:hAnsi="Arial"/>
                <w:sz w:val="21"/>
              </w:rPr>
              <w:t>This protocol is a single item measuring motivation to quit smoking among those who want to quit smoking.</w:t>
            </w:r>
          </w:p>
        </w:tc>
      </w:tr>
      <w:tr>
        <w:tc>
          <w:tcPr>
            <w:tcW w:w="1000" w:type="pct"/>
            <w:vAlign w:val="center"/>
          </w:tcPr>
          <w:p>
            <w:pPr>
              <w:spacing w:before="240" w:after="240"/>
              <w:ind w:left="0" w:right="0"/>
              <w:rPr>
                <w:rFonts w:ascii="Arial" w:hAnsi="Arial"/>
                <w:sz w:val="21"/>
              </w:rPr>
            </w:pPr>
            <w:r>
              <w:rPr>
                <w:rFonts w:ascii="Arial" w:hAnsi="Arial"/>
                <w:b w:val="1"/>
                <w:sz w:val="21"/>
              </w:rPr>
              <w:t>Specific Instructions:</w:t>
            </w:r>
          </w:p>
        </w:tc>
        <w:tc>
          <w:tcPr>
            <w:tcW w:w="0" w:type="auto"/>
            <w:vAlign w:val="center"/>
          </w:tcPr>
          <w:p>
            <w:pPr>
              <w:spacing w:before="240" w:after="240"/>
              <w:ind w:left="0" w:right="0"/>
              <w:rPr>
                <w:rFonts w:ascii="Arial" w:hAnsi="Arial"/>
                <w:sz w:val="21"/>
              </w:rPr>
            </w:pPr>
            <w:r>
              <w:rPr>
                <w:rFonts w:ascii="Arial" w:hAnsi="Arial"/>
                <w:sz w:val="21"/>
              </w:rPr>
              <w:t>Current smoking status must be ascertained before implementing this protocol. Proceed only if subject is a current smoker.</w:t>
            </w:r>
          </w:p>
        </w:tc>
      </w:tr>
      <w:tr>
        <w:tc>
          <w:tcPr>
            <w:tcW w:w="1000" w:type="pct"/>
            <w:vAlign w:val="center"/>
          </w:tcPr>
          <w:p>
            <w:pPr>
              <w:spacing w:before="240" w:after="240"/>
              <w:ind w:left="0" w:right="0"/>
              <w:rPr>
                <w:rFonts w:ascii="Arial" w:hAnsi="Arial"/>
                <w:sz w:val="21"/>
              </w:rPr>
            </w:pPr>
            <w:r>
              <w:rPr>
                <w:rFonts w:ascii="Arial" w:hAnsi="Arial"/>
                <w:b w:val="1"/>
                <w:sz w:val="21"/>
              </w:rPr>
              <w:t>Protocol:</w:t>
            </w:r>
          </w:p>
        </w:tc>
        <w:tc>
          <w:tcPr>
            <w:tcW w:w="0" w:type="auto"/>
            <w:vAlign w:val="center"/>
          </w:tcPr>
          <w:p>
            <w:pPr>
              <w:spacing w:before="240" w:after="240"/>
              <w:ind w:left="0" w:right="0"/>
              <w:rPr>
                <w:rFonts w:ascii="Arial" w:hAnsi="Arial"/>
                <w:sz w:val="21"/>
              </w:rPr>
            </w:pPr>
            <w:r>
              <w:rPr>
                <w:rFonts w:ascii="Arial" w:hAnsi="Arial"/>
                <w:sz w:val="21"/>
              </w:rPr>
              <w:t>How motivated are you to quit smoking on a scale where 1 = "not at all motivated" and 10 = "extremely motivated."</w:t>
            </w:r>
          </w:p>
        </w:tc>
      </w:tr>
      <w:tr>
        <w:tc>
          <w:tcPr>
            <w:tcW w:w="1000" w:type="pct"/>
            <w:vAlign w:val="center"/>
          </w:tcPr>
          <w:p>
            <w:pPr>
              <w:spacing w:before="240" w:after="240"/>
              <w:ind w:left="0" w:right="0"/>
              <w:rPr>
                <w:rFonts w:ascii="Arial" w:hAnsi="Arial"/>
                <w:sz w:val="21"/>
              </w:rPr>
            </w:pPr>
            <w:r>
              <w:rPr>
                <w:rFonts w:ascii="Arial" w:hAnsi="Arial"/>
                <w:b w:val="1"/>
                <w:sz w:val="21"/>
              </w:rPr>
              <w:t>Selection Rationale:</w:t>
            </w:r>
          </w:p>
        </w:tc>
        <w:tc>
          <w:tcPr>
            <w:tcW w:w="0" w:type="auto"/>
            <w:vAlign w:val="center"/>
          </w:tcPr>
          <w:p>
            <w:pPr>
              <w:spacing w:before="240" w:after="240"/>
              <w:ind w:left="0" w:right="0"/>
              <w:rPr>
                <w:rFonts w:ascii="Arial" w:hAnsi="Arial"/>
                <w:sz w:val="21"/>
              </w:rPr>
            </w:pPr>
            <w:r>
              <w:rPr>
                <w:rFonts w:ascii="Arial" w:hAnsi="Arial"/>
                <w:sz w:val="21"/>
              </w:rPr>
              <w:t>This single-item assessment of motivation to quit has been shown to be related to cessation success in adults and adolescents. This item is also frequently used to screen smokers for smoking cessation trials.</w:t>
            </w:r>
          </w:p>
        </w:tc>
      </w:tr>
      <w:tr>
        <w:tc>
          <w:tcPr>
            <w:tcW w:w="1000" w:type="pct"/>
            <w:vAlign w:val="center"/>
          </w:tcPr>
          <w:p>
            <w:pPr>
              <w:spacing w:before="240" w:after="240"/>
              <w:ind w:left="0" w:right="0"/>
              <w:rPr>
                <w:rFonts w:ascii="Arial" w:hAnsi="Arial"/>
                <w:sz w:val="21"/>
              </w:rPr>
            </w:pPr>
            <w:r>
              <w:rPr>
                <w:rFonts w:ascii="Arial" w:hAnsi="Arial"/>
                <w:b w:val="1"/>
                <w:sz w:val="21"/>
              </w:rPr>
              <w:t>Source:</w:t>
            </w:r>
          </w:p>
        </w:tc>
        <w:tc>
          <w:tcPr>
            <w:tcW w:w="0" w:type="auto"/>
            <w:vAlign w:val="center"/>
          </w:tcPr>
          <w:p>
            <w:pPr>
              <w:spacing w:before="240" w:after="240"/>
              <w:ind w:left="0" w:right="0"/>
              <w:rPr>
                <w:rFonts w:ascii="Arial" w:hAnsi="Arial"/>
                <w:sz w:val="21"/>
              </w:rPr>
            </w:pPr>
            <w:r>
              <w:rPr>
                <w:rFonts w:ascii="Arial" w:hAnsi="Arial"/>
                <w:sz w:val="21"/>
              </w:rPr>
              <w:t xml:space="preserve">Turner, L. R., &amp; Mermelstein, R. M. (2004). Motivation and reasons to quit: Predictive validity among adolescent smokers. </w:t>
            </w:r>
            <w:r>
              <w:rPr>
                <w:rFonts w:ascii="Arial" w:hAnsi="Arial"/>
                <w:i w:val="1"/>
                <w:sz w:val="21"/>
              </w:rPr>
              <w:t>American Journal of Health Behavior, 28</w:t>
            </w:r>
            <w:r>
              <w:rPr>
                <w:rFonts w:ascii="Arial" w:hAnsi="Arial"/>
                <w:sz w:val="21"/>
              </w:rPr>
              <w:t>, 542-550.</w:t>
            </w:r>
          </w:p>
        </w:tc>
      </w:tr>
      <w:tr>
        <w:tc>
          <w:tcPr>
            <w:tcW w:w="1000" w:type="pct"/>
            <w:vAlign w:val="center"/>
          </w:tcPr>
          <w:p>
            <w:pPr>
              <w:spacing w:before="240" w:after="240"/>
              <w:ind w:left="0" w:right="0"/>
              <w:rPr>
                <w:rFonts w:ascii="Arial" w:hAnsi="Arial"/>
                <w:sz w:val="21"/>
              </w:rPr>
            </w:pPr>
            <w:r>
              <w:rPr>
                <w:rFonts w:ascii="Arial" w:hAnsi="Arial"/>
                <w:b w:val="1"/>
                <w:sz w:val="21"/>
              </w:rPr>
              <w:t>Language</w:t>
            </w:r>
          </w:p>
        </w:tc>
        <w:tc>
          <w:tcPr>
            <w:tcW w:w="0" w:type="auto"/>
            <w:vAlign w:val="center"/>
          </w:tcPr>
          <w:p>
            <w:pPr>
              <w:ind w:left="0" w:right="0"/>
            </w:pPr>
            <w:r>
              <w:rPr>
                <w:rFonts w:ascii="Arial" w:hAnsi="Arial"/>
                <w:sz w:val="21"/>
              </w:rPr>
              <w:t xml:space="preserve">English </w:t>
            </w:r>
          </w:p>
        </w:tc>
      </w:tr>
      <w:tr>
        <w:tc>
          <w:tcPr>
            <w:tcW w:w="1000" w:type="pct"/>
            <w:vAlign w:val="center"/>
          </w:tcPr>
          <w:p>
            <w:pPr>
              <w:spacing w:before="240" w:after="240"/>
              <w:ind w:left="0" w:right="0"/>
              <w:rPr>
                <w:rFonts w:ascii="Arial" w:hAnsi="Arial"/>
                <w:sz w:val="21"/>
              </w:rPr>
            </w:pPr>
            <w:r>
              <w:rPr>
                <w:rFonts w:ascii="Arial" w:hAnsi="Arial"/>
                <w:b w:val="1"/>
                <w:sz w:val="21"/>
              </w:rPr>
              <w:t>Participant:</w:t>
            </w:r>
          </w:p>
        </w:tc>
        <w:tc>
          <w:tcPr>
            <w:tcW w:w="0" w:type="auto"/>
            <w:vAlign w:val="center"/>
          </w:tcPr>
          <w:p>
            <w:pPr>
              <w:spacing w:before="240" w:after="240"/>
              <w:ind w:left="0" w:right="0"/>
              <w:rPr>
                <w:rFonts w:ascii="Arial" w:hAnsi="Arial"/>
                <w:sz w:val="21"/>
              </w:rPr>
            </w:pPr>
            <w:r>
              <w:rPr>
                <w:rFonts w:ascii="Arial" w:hAnsi="Arial"/>
                <w:sz w:val="21"/>
              </w:rPr>
              <w:t>14 years old to adult.</w:t>
            </w:r>
          </w:p>
        </w:tc>
      </w:tr>
      <w:tr>
        <w:tc>
          <w:tcPr>
            <w:tcW w:w="1000" w:type="pct"/>
            <w:vAlign w:val="center"/>
          </w:tcPr>
          <w:p>
            <w:pPr>
              <w:spacing w:before="240" w:after="240"/>
              <w:ind w:left="0" w:right="0"/>
              <w:rPr>
                <w:rFonts w:ascii="Arial" w:hAnsi="Arial"/>
                <w:sz w:val="21"/>
              </w:rPr>
            </w:pPr>
            <w:r>
              <w:rPr>
                <w:rFonts w:ascii="Arial" w:hAnsi="Arial"/>
                <w:b w:val="1"/>
                <w:sz w:val="21"/>
              </w:rPr>
              <w:t>Personnel and Training Required:</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Equipment Needs: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Standards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General References:</w:t>
            </w:r>
          </w:p>
        </w:tc>
        <w:tc>
          <w:tcPr>
            <w:tcW w:w="0" w:type="auto"/>
            <w:vAlign w:val="center"/>
          </w:tcPr>
          <w:p>
            <w:pPr>
              <w:spacing w:before="240" w:after="240"/>
              <w:ind w:left="0" w:right="0"/>
              <w:rPr>
                <w:rFonts w:ascii="Arial" w:hAnsi="Arial"/>
                <w:sz w:val="21"/>
              </w:rPr>
            </w:pPr>
            <w:r>
              <w:rPr>
                <w:rFonts w:ascii="Arial" w:hAnsi="Arial"/>
                <w:sz w:val="21"/>
              </w:rPr>
              <w:t xml:space="preserve">Turner, L. R., &amp; Mermelstein, R. (2004). Motivation and reasons to quit: Predictive validity among adolescent smokers. </w:t>
            </w:r>
            <w:r>
              <w:rPr>
                <w:rFonts w:ascii="Arial" w:hAnsi="Arial"/>
                <w:i w:val="1"/>
                <w:sz w:val="21"/>
              </w:rPr>
              <w:t>American Journal of Health Behavior</w:t>
            </w:r>
            <w:r>
              <w:rPr>
                <w:rFonts w:ascii="Arial" w:hAnsi="Arial"/>
                <w:sz w:val="21"/>
              </w:rPr>
              <w:t xml:space="preserve">, </w:t>
            </w:r>
            <w:r>
              <w:rPr>
                <w:rFonts w:ascii="Arial" w:hAnsi="Arial"/>
                <w:i w:val="1"/>
                <w:sz w:val="21"/>
              </w:rPr>
              <w:t>28</w:t>
            </w:r>
            <w:r>
              <w:rPr>
                <w:rFonts w:ascii="Arial" w:hAnsi="Arial"/>
                <w:sz w:val="21"/>
              </w:rPr>
              <w:t>, 385-396.</w:t>
            </w:r>
          </w:p>
        </w:tc>
      </w:tr>
      <w:tr>
        <w:tc>
          <w:tcPr>
            <w:tcW w:w="1000" w:type="pct"/>
            <w:vAlign w:val="center"/>
          </w:tcPr>
          <w:p>
            <w:pPr>
              <w:spacing w:before="240" w:after="240"/>
              <w:ind w:left="0" w:right="0"/>
              <w:rPr>
                <w:rFonts w:ascii="Arial" w:hAnsi="Arial"/>
                <w:sz w:val="21"/>
              </w:rPr>
            </w:pPr>
            <w:r>
              <w:rPr>
                <w:rFonts w:ascii="Arial" w:hAnsi="Arial"/>
                <w:b w:val="1"/>
                <w:sz w:val="21"/>
              </w:rPr>
              <w:t>Mode of Administration:</w:t>
            </w:r>
          </w:p>
        </w:tc>
        <w:tc>
          <w:tcPr>
            <w:tcW w:w="0" w:type="auto"/>
            <w:vAlign w:val="center"/>
          </w:tcPr>
          <w:p>
            <w:pPr>
              <w:ind w:left="0" w:right="0"/>
            </w:pPr>
            <w:r>
              <w:rPr>
                <w:rFonts w:ascii="Arial" w:hAnsi="Arial"/>
                <w:sz w:val="21"/>
              </w:rPr>
              <w:t xml:space="preserve">Self-administered questionnaire </w:t>
            </w:r>
          </w:p>
        </w:tc>
      </w:tr>
      <w:tr>
        <w:tc>
          <w:tcPr>
            <w:tcW w:w="1000" w:type="pct"/>
            <w:vAlign w:val="center"/>
          </w:tcPr>
          <w:p>
            <w:pPr>
              <w:spacing w:before="240" w:after="240"/>
              <w:ind w:left="0" w:right="0"/>
              <w:rPr>
                <w:rFonts w:ascii="Arial" w:hAnsi="Arial"/>
                <w:sz w:val="21"/>
              </w:rPr>
            </w:pPr>
            <w:r>
              <w:rPr>
                <w:rFonts w:ascii="Arial" w:hAnsi="Arial"/>
                <w:b w:val="1"/>
                <w:sz w:val="21"/>
              </w:rPr>
              <w:t>Derived Variables: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Arial" w:hAnsi="Arial"/>
                      <w:sz w:val="21"/>
                    </w:rPr>
                  </w:pPr>
                  <w:r>
                    <w:rPr>
                      <w:rFonts w:ascii="Arial" w:hAnsi="Arial"/>
                      <w:b w:val="1"/>
                      <w:sz w:val="21"/>
                    </w:rPr>
                    <w:t>Requirement Category</w:t>
                  </w:r>
                </w:p>
              </w:tc>
              <w:tc>
                <w:tcPr>
                  <w:tcW w:w="0" w:type="auto"/>
                  <w:vAlign w:val="center"/>
                </w:tcPr>
                <w:p>
                  <w:pPr>
                    <w:spacing w:before="240" w:after="240"/>
                    <w:ind w:left="0" w:right="0"/>
                    <w:rPr>
                      <w:rFonts w:ascii="Arial" w:hAnsi="Arial"/>
                      <w:sz w:val="21"/>
                    </w:rPr>
                  </w:pPr>
                  <w:r>
                    <w:rPr>
                      <w:rFonts w:ascii="Arial" w:hAnsi="Arial"/>
                      <w:b w:val="1"/>
                      <w:sz w:val="21"/>
                    </w:rPr>
                    <w:t>Required (Yes/No)</w:t>
                  </w:r>
                </w:p>
              </w:tc>
            </w:tr>
            <w:tr>
              <w:tc>
                <w:tcPr>
                  <w:tcW w:w="0" w:type="auto"/>
                  <w:vAlign w:val="center"/>
                </w:tcPr>
                <w:p>
                  <w:pPr>
                    <w:spacing w:before="240" w:after="240"/>
                    <w:ind w:left="0" w:right="0"/>
                    <w:rPr>
                      <w:rFonts w:ascii="Arial" w:hAnsi="Arial"/>
                      <w:sz w:val="21"/>
                    </w:rPr>
                  </w:pPr>
                  <w:r>
                    <w:rPr>
                      <w:rFonts w:ascii="Arial" w:hAnsi="Arial"/>
                      <w:b w:val="1"/>
                      <w:sz w:val="21"/>
                    </w:rPr>
                    <w:t>Major equipment</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training</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requirements for biospecimen collection</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Average time of greater than 15 minutes in an unaffected individual</w:t>
                  </w:r>
                </w:p>
              </w:tc>
              <w:tc>
                <w:tcPr>
                  <w:tcW w:w="0" w:type="auto"/>
                  <w:vAlign w:val="center"/>
                </w:tcPr>
                <w:p>
                  <w:pPr>
                    <w:spacing w:before="240" w:after="240"/>
                    <w:ind w:left="0" w:right="0"/>
                    <w:rPr>
                      <w:rFonts w:ascii="Arial" w:hAnsi="Arial"/>
                      <w:sz w:val="21"/>
                    </w:rPr>
                  </w:pPr>
                  <w:r>
                    <w:rPr>
                      <w:rFonts w:ascii="Arial" w:hAnsi="Arial"/>
                      <w:sz w:val="21"/>
                    </w:rPr>
                    <w:t>No</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Annotations for Specific Conditions:</w:t>
            </w:r>
          </w:p>
        </w:tc>
        <w:tc>
          <w:tcPr>
            <w:tcW w:w="0" w:type="auto"/>
            <w:vAlign w:val="center"/>
          </w:tcPr>
          <w:p>
            <w:pPr>
              <w:ind w:left="0" w:right="0"/>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Process and Review:</w:t>
            </w:r>
          </w:p>
        </w:tc>
        <w:tc>
          <w:tcPr>
            <w:tcW w:w="0" w:type="auto"/>
            <w:vAlign w:val="center"/>
          </w:tcPr>
          <w:p>
            <w:pPr>
              <w:ind w:left="0" w:right="0"/>
            </w:pPr>
            <w:r>
              <w:rPr>
                <w:rFonts w:ascii="Arial" w:hAnsi="Arial"/>
                <w:sz w:val="21"/>
              </w:rPr>
              <w:t xml:space="preserve">Not applicable. </w:t>
            </w: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2024-04-23T17:00:11Z</dcterms:created>
  <cp:lastModifiedBy>Williams (He/Him), David</cp:lastModifiedBy>
  <dcterms:modified xsi:type="dcterms:W3CDTF">2024-04-23T17:00:11Z</dcterms:modified>
  <cp:revision>1</cp:revision>
</cp:coreProperties>
</file>