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893CD84" Type="http://schemas.openxmlformats.org/officeDocument/2006/relationships/officeDocument" Target="/word/document.xml" /><Relationship Id="coreR4893CD8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Measure</w:t>
            </w:r>
          </w:p>
        </w:tc>
      </w:tr>
      <w:tr>
        <w:tc>
          <w:tcPr>
            <w:tcW w:w="1000" w:type="pct"/>
            <w:vAlign w:val="center"/>
          </w:tcPr>
          <w:p>
            <w:pPr>
              <w:spacing w:before="240" w:after="240"/>
              <w:ind w:left="0" w:right="0"/>
              <w:rPr>
                <w:rFonts w:ascii="Arial" w:hAnsi="Arial"/>
                <w:sz w:val="21"/>
              </w:rPr>
            </w:pPr>
            <w:r>
              <w:rPr>
                <w:rFonts w:ascii="Arial" w:hAnsi="Arial"/>
                <w:b w:val="1"/>
                <w:sz w:val="21"/>
              </w:rPr>
              <w:t>Protocol Id</w:t>
            </w:r>
          </w:p>
        </w:tc>
        <w:tc>
          <w:tcPr>
            <w:tcW w:w="0" w:type="auto"/>
            <w:vAlign w:val="center"/>
          </w:tcPr>
          <w:p>
            <w:pPr>
              <w:spacing w:before="240" w:after="240"/>
              <w:ind w:left="0" w:right="0"/>
              <w:rPr>
                <w:rFonts w:ascii="Arial" w:hAnsi="Arial"/>
                <w:sz w:val="21"/>
              </w:rPr>
            </w:pPr>
            <w:r>
              <w:rPr>
                <w:rFonts w:ascii="Arial" w:hAnsi="Arial"/>
                <w:sz w:val="21"/>
              </w:rPr>
              <w:t>730701</w:t>
            </w:r>
          </w:p>
        </w:tc>
      </w:tr>
      <w:tr>
        <w:tc>
          <w:tcPr>
            <w:tcW w:w="1000" w:type="pct"/>
            <w:vAlign w:val="center"/>
          </w:tcPr>
          <w:p>
            <w:pPr>
              <w:spacing w:before="240" w:after="240"/>
              <w:ind w:left="0" w:right="0"/>
              <w:rPr>
                <w:rFonts w:ascii="Arial" w:hAnsi="Arial"/>
                <w:sz w:val="21"/>
              </w:rPr>
            </w:pPr>
            <w:r>
              <w:rPr>
                <w:rFonts w:ascii="Arial" w:hAnsi="Arial"/>
                <w:b w:val="1"/>
                <w:sz w:val="21"/>
              </w:rPr>
              <w:t>Domain:</w:t>
            </w:r>
          </w:p>
        </w:tc>
        <w:tc>
          <w:tcPr>
            <w:tcW w:w="0" w:type="auto"/>
            <w:vAlign w:val="center"/>
          </w:tcPr>
          <w:p>
            <w:pPr>
              <w:ind w:left="0" w:right="0"/>
            </w:pPr>
            <w:r>
              <w:rPr>
                <w:rFonts w:ascii="Arial" w:hAnsi="Arial"/>
                <w:sz w:val="21"/>
              </w:rPr>
              <w:t xml:space="preserve">Tobacco Regulatory Research: Agent </w:t>
            </w:r>
          </w:p>
        </w:tc>
      </w:tr>
      <w:tr>
        <w:tc>
          <w:tcPr>
            <w:tcW w:w="1000" w:type="pct"/>
            <w:vAlign w:val="center"/>
          </w:tcPr>
          <w:p>
            <w:pPr>
              <w:spacing w:before="240" w:after="240"/>
              <w:ind w:left="0" w:right="0"/>
              <w:rPr>
                <w:rFonts w:ascii="Arial" w:hAnsi="Arial"/>
                <w:sz w:val="21"/>
              </w:rPr>
            </w:pPr>
            <w:r>
              <w:rPr>
                <w:rFonts w:ascii="Arial" w:hAnsi="Arial"/>
                <w:b w:val="1"/>
                <w:sz w:val="21"/>
              </w:rPr>
              <w:t>Measure:</w:t>
            </w:r>
          </w:p>
        </w:tc>
        <w:tc>
          <w:tcPr>
            <w:tcW w:w="0" w:type="auto"/>
            <w:vAlign w:val="center"/>
          </w:tcPr>
          <w:p>
            <w:pPr>
              <w:ind w:left="0" w:right="0"/>
            </w:pPr>
            <w:r>
              <w:rPr>
                <w:rFonts w:ascii="Arial" w:hAnsi="Arial"/>
                <w:sz w:val="21"/>
              </w:rPr>
              <w:t xml:space="preserve">Tobacco Brand and Variety </w:t>
            </w:r>
          </w:p>
        </w:tc>
      </w:tr>
      <w:tr>
        <w:tc>
          <w:tcPr>
            <w:tcW w:w="1000" w:type="pct"/>
            <w:vAlign w:val="center"/>
          </w:tcPr>
          <w:p>
            <w:pPr>
              <w:spacing w:before="240" w:after="240"/>
              <w:ind w:left="0" w:right="0"/>
              <w:rPr>
                <w:rFonts w:ascii="Arial" w:hAnsi="Arial"/>
                <w:sz w:val="21"/>
              </w:rPr>
            </w:pPr>
            <w:r>
              <w:rPr>
                <w:rFonts w:ascii="Arial" w:hAnsi="Arial"/>
                <w:b w:val="1"/>
                <w:sz w:val="21"/>
              </w:rPr>
              <w:t>Definition:</w:t>
            </w:r>
          </w:p>
        </w:tc>
        <w:tc>
          <w:tcPr>
            <w:tcW w:w="0" w:type="auto"/>
            <w:vAlign w:val="center"/>
          </w:tcPr>
          <w:p>
            <w:pPr>
              <w:ind w:left="0" w:right="0"/>
            </w:pPr>
            <w:r>
              <w:rPr>
                <w:rFonts w:ascii="Arial" w:hAnsi="Arial"/>
                <w:sz w:val="21"/>
              </w:rPr>
              <w:t xml:space="preserve">This measure consists of questions used to determine the tobacco product brand and type used by the respondent most often in the last 30 days. </w:t>
            </w:r>
          </w:p>
        </w:tc>
      </w:tr>
      <w:tr>
        <w:tc>
          <w:tcPr>
            <w:tcW w:w="1000" w:type="pct"/>
            <w:vAlign w:val="center"/>
          </w:tcPr>
          <w:p>
            <w:pPr>
              <w:spacing w:before="240" w:after="240"/>
              <w:ind w:left="0" w:right="0"/>
              <w:rPr>
                <w:rFonts w:ascii="Arial" w:hAnsi="Arial"/>
                <w:sz w:val="21"/>
              </w:rPr>
            </w:pPr>
            <w:r>
              <w:rPr>
                <w:rFonts w:ascii="Arial" w:hAnsi="Arial"/>
                <w:b w:val="1"/>
                <w:sz w:val="21"/>
              </w:rPr>
              <w:t>Purpose:</w:t>
            </w:r>
          </w:p>
        </w:tc>
        <w:tc>
          <w:tcPr>
            <w:tcW w:w="0" w:type="auto"/>
            <w:vAlign w:val="center"/>
          </w:tcPr>
          <w:p>
            <w:pPr>
              <w:ind w:left="0" w:right="0"/>
            </w:pPr>
            <w:r>
              <w:rPr>
                <w:rFonts w:ascii="Arial" w:hAnsi="Arial"/>
                <w:sz w:val="21"/>
              </w:rPr>
              <w:t xml:space="preserve">This measure is used to assess the type and brand of tobacco product used by respondents. </w:t>
            </w:r>
          </w:p>
        </w:tc>
      </w:tr>
      <w:tr>
        <w:tc>
          <w:tcPr>
            <w:tcW w:w="1000" w:type="pct"/>
            <w:vAlign w:val="center"/>
          </w:tcPr>
          <w:p>
            <w:pPr>
              <w:spacing w:before="240" w:after="240"/>
              <w:ind w:left="0" w:right="0"/>
              <w:rPr>
                <w:rFonts w:ascii="Arial" w:hAnsi="Arial"/>
                <w:sz w:val="21"/>
              </w:rPr>
            </w:pPr>
            <w:r>
              <w:rPr>
                <w:rFonts w:ascii="Arial" w:hAnsi="Arial"/>
                <w:b w:val="1"/>
                <w:sz w:val="21"/>
              </w:rPr>
              <w:t>Essential PhenX Protocols:</w:t>
            </w:r>
          </w:p>
        </w:tc>
        <w:tc>
          <w:tcPr>
            <w:tcW w:w="0" w:type="auto"/>
            <w:vAlign w:val="center"/>
          </w:tcPr>
          <w:p>
            <w:pPr>
              <w:ind w:left="0" w:right="0"/>
            </w:pPr>
            <w:r>
              <w:rPr>
                <w:rFonts w:ascii="Arial" w:hAnsi="Arial"/>
                <w:sz w:val="21"/>
              </w:rPr>
              <w:t xml:space="preserve">Use of Tobacco Products [741401] </w:t>
            </w:r>
          </w:p>
        </w:tc>
      </w:tr>
      <w:tr>
        <w:tc>
          <w:tcPr>
            <w:tcW w:w="1000" w:type="pct"/>
            <w:vAlign w:val="center"/>
          </w:tcPr>
          <w:p>
            <w:pPr>
              <w:spacing w:before="240" w:after="240"/>
              <w:ind w:left="0" w:right="0"/>
              <w:rPr>
                <w:rFonts w:ascii="Arial" w:hAnsi="Arial"/>
                <w:sz w:val="21"/>
              </w:rPr>
            </w:pPr>
            <w:r>
              <w:rPr>
                <w:rFonts w:ascii="Arial" w:hAnsi="Arial"/>
                <w:b w:val="1"/>
                <w:sz w:val="21"/>
              </w:rPr>
              <w:t>Related PhenX Protocols:</w:t>
            </w:r>
          </w:p>
        </w:tc>
        <w:tc>
          <w:tcPr>
            <w:tcW w:w="0" w:type="auto"/>
            <w:vAlign w:val="center"/>
          </w:tcPr>
          <w:p>
            <w:pPr>
              <w:ind w:left="0" w:right="0"/>
            </w:pPr>
            <w:r>
              <w:rPr>
                <w:rFonts w:ascii="Arial" w:hAnsi="Arial"/>
                <w:sz w:val="21"/>
              </w:rPr>
              <w:t xml:space="preserve">History of Switching to Lower Tar and Nicotine Cigarettes [730101] </w:t>
            </w:r>
          </w:p>
        </w:tc>
      </w:tr>
      <w:tr>
        <w:tc>
          <w:tcPr>
            <w:tcW w:w="1000" w:type="pct"/>
            <w:vAlign w:val="center"/>
          </w:tcPr>
          <w:p>
            <w:pPr>
              <w:spacing w:before="240" w:after="240"/>
              <w:ind w:left="0" w:right="0"/>
              <w:rPr>
                <w:rFonts w:ascii="Arial" w:hAnsi="Arial"/>
                <w:sz w:val="21"/>
              </w:rPr>
            </w:pPr>
            <w:r>
              <w:rPr>
                <w:rFonts w:ascii="Arial" w:hAnsi="Arial"/>
                <w:b w:val="1"/>
                <w:sz w:val="21"/>
              </w:rPr>
              <w:t>Measure Release Date:</w:t>
            </w:r>
          </w:p>
        </w:tc>
        <w:tc>
          <w:tcPr>
            <w:tcW w:w="0" w:type="auto"/>
            <w:vAlign w:val="center"/>
          </w:tcPr>
          <w:p>
            <w:pPr>
              <w:ind w:left="0" w:right="0"/>
            </w:pPr>
            <w:r>
              <w:rPr>
                <w:rFonts w:ascii="Arial" w:hAnsi="Arial"/>
                <w:sz w:val="21"/>
              </w:rPr>
              <w:t xml:space="preserve">June 24, 2015 </w:t>
            </w:r>
          </w:p>
        </w:tc>
      </w:tr>
    </w:tbl>
    <w:p>
      <w:pPr>
        <w:spacing w:before="0" w:after="0"/>
        <w:ind w:firstLine="0" w:left="0" w:right="0"/>
      </w:pPr>
      <w:r>
        <w:br w:type="textWrapping"/>
      </w:r>
    </w:p>
    <w:tbl>
      <w:tblPr>
        <w:tblW w:w="5000" w:type="pct"/>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gridSpan w:val="2"/>
            <w:vAlign w:val="center"/>
          </w:tcPr>
          <w:p>
            <w:pPr>
              <w:spacing w:before="240" w:after="240"/>
              <w:ind w:left="0" w:right="0"/>
              <w:rPr>
                <w:rFonts w:ascii="Arial" w:hAnsi="Arial"/>
                <w:sz w:val="27"/>
              </w:rPr>
            </w:pPr>
            <w:r>
              <w:rPr>
                <w:rFonts w:ascii="Arial" w:hAnsi="Arial"/>
                <w:b w:val="1"/>
                <w:sz w:val="27"/>
              </w:rPr>
              <w:t>About the Protocol</w:t>
            </w:r>
          </w:p>
        </w:tc>
      </w:tr>
      <w:tr>
        <w:tc>
          <w:tcPr>
            <w:tcW w:w="1000" w:type="pct"/>
            <w:vAlign w:val="center"/>
          </w:tcPr>
          <w:p>
            <w:pPr>
              <w:spacing w:before="240" w:after="240"/>
              <w:ind w:left="0" w:right="0"/>
              <w:rPr>
                <w:rFonts w:ascii="Arial" w:hAnsi="Arial"/>
                <w:sz w:val="21"/>
              </w:rPr>
            </w:pPr>
            <w:r>
              <w:rPr>
                <w:rFonts w:ascii="Arial" w:hAnsi="Arial"/>
                <w:b w:val="1"/>
                <w:sz w:val="21"/>
              </w:rPr>
              <w:t>Protocol Release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Protocol Review Date:</w:t>
            </w:r>
          </w:p>
        </w:tc>
        <w:tc>
          <w:tcPr>
            <w:tcW w:w="0" w:type="auto"/>
            <w:vAlign w:val="center"/>
          </w:tcPr>
          <w:p>
            <w:pPr>
              <w:ind w:left="0" w:right="0"/>
            </w:pPr>
            <w:r>
              <w:rPr>
                <w:rFonts w:ascii="Arial" w:hAnsi="Arial"/>
                <w:sz w:val="21"/>
              </w:rPr>
              <w:t xml:space="preserve">June 24, 2015 </w:t>
            </w:r>
          </w:p>
        </w:tc>
      </w:tr>
      <w:tr>
        <w:tc>
          <w:tcPr>
            <w:tcW w:w="1000" w:type="pct"/>
            <w:vAlign w:val="center"/>
          </w:tcPr>
          <w:p>
            <w:pPr>
              <w:spacing w:before="240" w:after="240"/>
              <w:ind w:left="0" w:right="0"/>
              <w:rPr>
                <w:rFonts w:ascii="Arial" w:hAnsi="Arial"/>
                <w:sz w:val="21"/>
              </w:rPr>
            </w:pPr>
            <w:r>
              <w:rPr>
                <w:rFonts w:ascii="Arial" w:hAnsi="Arial"/>
                <w:b w:val="1"/>
                <w:sz w:val="21"/>
              </w:rPr>
              <w:t>PhenX Protocol Name:</w:t>
            </w:r>
          </w:p>
        </w:tc>
        <w:tc>
          <w:tcPr>
            <w:tcW w:w="0" w:type="auto"/>
            <w:vAlign w:val="center"/>
          </w:tcPr>
          <w:p>
            <w:pPr>
              <w:ind w:left="0" w:right="0"/>
            </w:pPr>
            <w:r>
              <w:rPr>
                <w:rFonts w:ascii="Arial" w:hAnsi="Arial"/>
                <w:sz w:val="21"/>
              </w:rPr>
              <w:t xml:space="preserve">Tobacco Brand and Variety - Cigars </w:t>
            </w:r>
          </w:p>
        </w:tc>
      </w:tr>
      <w:tr>
        <w:tc>
          <w:tcPr>
            <w:tcW w:w="1000" w:type="pct"/>
            <w:vAlign w:val="center"/>
          </w:tcPr>
          <w:p>
            <w:pPr>
              <w:spacing w:before="240" w:after="240"/>
              <w:ind w:left="0" w:right="0"/>
              <w:rPr>
                <w:rFonts w:ascii="Arial" w:hAnsi="Arial"/>
                <w:sz w:val="21"/>
              </w:rPr>
            </w:pPr>
            <w:r>
              <w:rPr>
                <w:rFonts w:ascii="Arial" w:hAnsi="Arial"/>
                <w:b w:val="1"/>
                <w:sz w:val="21"/>
              </w:rPr>
              <w:t>Protocol Name From Source:</w:t>
            </w:r>
          </w:p>
        </w:tc>
        <w:tc>
          <w:tcPr>
            <w:tcW w:w="0" w:type="auto"/>
            <w:vAlign w:val="center"/>
          </w:tcPr>
          <w:p>
            <w:pPr>
              <w:ind w:left="0" w:right="0"/>
            </w:pPr>
            <w:r>
              <w:rPr>
                <w:rFonts w:ascii="Arial" w:hAnsi="Arial"/>
                <w:sz w:val="21"/>
              </w:rPr>
              <w:t xml:space="preserve">Current Population Survey (CPS), Tobacco Supplement, 2010-2011 </w:t>
            </w:r>
          </w:p>
        </w:tc>
      </w:tr>
      <w:tr>
        <w:tc>
          <w:tcPr>
            <w:tcW w:w="1000" w:type="pct"/>
            <w:vAlign w:val="center"/>
          </w:tcPr>
          <w:p>
            <w:pPr>
              <w:spacing w:before="240" w:after="240"/>
              <w:ind w:left="0" w:right="0"/>
              <w:rPr>
                <w:rFonts w:ascii="Arial" w:hAnsi="Arial"/>
                <w:sz w:val="21"/>
              </w:rPr>
            </w:pPr>
            <w:r>
              <w:rPr>
                <w:rFonts w:ascii="Arial" w:hAnsi="Arial"/>
                <w:b w:val="1"/>
                <w:sz w:val="21"/>
              </w:rPr>
              <w:t>Protocol Availability:</w:t>
            </w:r>
          </w:p>
        </w:tc>
        <w:tc>
          <w:tcPr>
            <w:tcW w:w="0" w:type="auto"/>
            <w:vAlign w:val="center"/>
          </w:tcPr>
          <w:p>
            <w:pPr>
              <w:ind w:left="0" w:right="0"/>
            </w:pPr>
            <w:r>
              <w:rPr>
                <w:rFonts w:ascii="Arial" w:hAnsi="Arial"/>
                <w:sz w:val="21"/>
              </w:rPr>
              <w:t xml:space="preserve">Available </w:t>
            </w:r>
          </w:p>
        </w:tc>
      </w:tr>
      <w:tr>
        <w:tc>
          <w:tcPr>
            <w:tcW w:w="1000" w:type="pct"/>
            <w:vAlign w:val="center"/>
          </w:tcPr>
          <w:p>
            <w:pPr>
              <w:spacing w:before="240" w:after="240"/>
              <w:ind w:left="0" w:right="0"/>
              <w:rPr>
                <w:rFonts w:ascii="Arial" w:hAnsi="Arial"/>
                <w:sz w:val="21"/>
              </w:rPr>
            </w:pPr>
            <w:r>
              <w:rPr>
                <w:rFonts w:ascii="Arial" w:hAnsi="Arial"/>
                <w:b w:val="1"/>
                <w:sz w:val="21"/>
              </w:rPr>
              <w:t>Keywords:</w:t>
            </w:r>
          </w:p>
        </w:tc>
        <w:tc>
          <w:tcPr>
            <w:tcW w:w="0" w:type="auto"/>
            <w:vAlign w:val="center"/>
          </w:tcPr>
          <w:p>
            <w:pPr>
              <w:ind w:left="0" w:right="0"/>
            </w:pPr>
            <w:r>
              <w:rPr>
                <w:rFonts w:ascii="Arial" w:hAnsi="Arial"/>
                <w:sz w:val="21"/>
              </w:rPr>
              <w:t xml:space="preserve">Tobacco Regulatory Research; TRR; cigar brand; cigar; cigar type; cigar variety; tobacco brand; tobacco variety; little cigars; cigarillos; TUS-CPS; agent; brand; tobacco type; tobacco product; cigarette smoking; menthol; cigarettes; regulars; smokeless tobacco; snus; moist snuff; dip tobacco; split tobacco; Chewing Tobacco; flavors; Population Assessment of Tobacco and Health; PATH; smokeless; dip; Snuff; spit </w:t>
            </w:r>
          </w:p>
        </w:tc>
      </w:tr>
      <w:tr>
        <w:tc>
          <w:tcPr>
            <w:tcW w:w="1000" w:type="pct"/>
            <w:vAlign w:val="center"/>
          </w:tcPr>
          <w:p>
            <w:pPr>
              <w:spacing w:before="240" w:after="240"/>
              <w:ind w:left="0" w:right="0"/>
              <w:rPr>
                <w:rFonts w:ascii="Arial" w:hAnsi="Arial"/>
                <w:sz w:val="21"/>
              </w:rPr>
            </w:pPr>
            <w:r>
              <w:rPr>
                <w:rFonts w:ascii="Arial" w:hAnsi="Arial"/>
                <w:b w:val="1"/>
                <w:sz w:val="21"/>
              </w:rPr>
              <w:t>Description:</w:t>
            </w:r>
          </w:p>
        </w:tc>
        <w:tc>
          <w:tcPr>
            <w:tcW w:w="0" w:type="auto"/>
            <w:vAlign w:val="center"/>
          </w:tcPr>
          <w:p>
            <w:pPr>
              <w:spacing w:before="240" w:after="240"/>
              <w:ind w:left="0" w:right="0"/>
              <w:rPr>
                <w:rFonts w:ascii="Arial" w:hAnsi="Arial"/>
                <w:sz w:val="21"/>
              </w:rPr>
            </w:pPr>
            <w:r>
              <w:rPr>
                <w:rFonts w:ascii="Arial" w:hAnsi="Arial"/>
                <w:sz w:val="21"/>
              </w:rPr>
              <w:t xml:space="preserve">Three questions asked by an interviewer to determine the cigar brand and type smoked by respondents. </w:t>
            </w:r>
          </w:p>
        </w:tc>
      </w:tr>
      <w:tr>
        <w:tc>
          <w:tcPr>
            <w:tcW w:w="1000" w:type="pct"/>
            <w:vAlign w:val="center"/>
          </w:tcPr>
          <w:p>
            <w:pPr>
              <w:spacing w:before="240" w:after="240"/>
              <w:ind w:left="0" w:right="0"/>
              <w:rPr>
                <w:rFonts w:ascii="Arial" w:hAnsi="Arial"/>
                <w:sz w:val="21"/>
              </w:rPr>
            </w:pPr>
            <w:r>
              <w:rPr>
                <w:rFonts w:ascii="Arial" w:hAnsi="Arial"/>
                <w:b w:val="1"/>
                <w:sz w:val="21"/>
              </w:rPr>
              <w:t>Specific Instructions:</w:t>
            </w:r>
          </w:p>
        </w:tc>
        <w:tc>
          <w:tcPr>
            <w:tcW w:w="0" w:type="auto"/>
            <w:vAlign w:val="center"/>
          </w:tcPr>
          <w:p>
            <w:pPr>
              <w:spacing w:before="240" w:after="240"/>
              <w:ind w:left="0" w:right="0"/>
              <w:rPr>
                <w:rFonts w:ascii="Arial" w:hAnsi="Arial"/>
                <w:sz w:val="21"/>
              </w:rPr>
            </w:pPr>
            <w:r>
              <w:rPr>
                <w:rFonts w:ascii="Arial" w:hAnsi="Arial"/>
                <w:sz w:val="21"/>
              </w:rPr>
              <w:t>The PhenX Working Group acknowledges these questions can be administered in a computerized or non-computerized format (i.e., paper-and-pencil instrument). Computer software is necessary to develop computer-assisted instruments. The interviewer will require a laptop computer/handheld computer to administer a computer-assisted questionnaire.</w:t>
            </w:r>
          </w:p>
        </w:tc>
      </w:tr>
      <w:tr>
        <w:tc>
          <w:tcPr>
            <w:tcW w:w="1000" w:type="pct"/>
            <w:vAlign w:val="center"/>
          </w:tcPr>
          <w:p>
            <w:pPr>
              <w:spacing w:before="240" w:after="240"/>
              <w:ind w:left="0" w:right="0"/>
              <w:rPr>
                <w:rFonts w:ascii="Arial" w:hAnsi="Arial"/>
                <w:sz w:val="21"/>
              </w:rPr>
            </w:pPr>
            <w:r>
              <w:rPr>
                <w:rFonts w:ascii="Arial" w:hAnsi="Arial"/>
                <w:b w:val="1"/>
                <w:sz w:val="21"/>
              </w:rPr>
              <w:t>Protocol:</w:t>
            </w:r>
          </w:p>
        </w:tc>
        <w:tc>
          <w:tcPr>
            <w:tcW w:w="0" w:type="auto"/>
            <w:vAlign w:val="center"/>
          </w:tcPr>
          <w:p>
            <w:pPr>
              <w:spacing w:before="240" w:after="240"/>
              <w:ind w:left="0" w:right="0"/>
              <w:rPr>
                <w:rFonts w:ascii="Arial" w:hAnsi="Arial"/>
                <w:sz w:val="21"/>
              </w:rPr>
            </w:pPr>
            <w:r>
              <w:rPr>
                <w:rFonts w:ascii="Arial" w:hAnsi="Arial"/>
                <w:sz w:val="21"/>
              </w:rPr>
              <w:t>1. During the PAST 30 days, what BRAND of CIGAR did you smoke MOST OFTEN?</w:t>
            </w:r>
          </w:p>
          <w:p>
            <w:pPr>
              <w:spacing w:before="240" w:after="240"/>
              <w:ind w:left="0" w:right="0"/>
              <w:rPr>
                <w:rFonts w:ascii="Arial" w:hAnsi="Arial"/>
                <w:sz w:val="21"/>
              </w:rPr>
            </w:pPr>
            <w:r>
              <w:rPr>
                <w:rFonts w:ascii="Arial" w:hAnsi="Arial"/>
                <w:sz w:val="21"/>
              </w:rPr>
              <w:t>____ ENTER CODE FOR BRAND (1-15). ENTER 15 for OTHER BRAND NOT ON THE LIST</w:t>
            </w:r>
          </w:p>
          <w:p>
            <w:pPr>
              <w:spacing w:before="240" w:after="240"/>
              <w:ind w:left="0" w:right="0"/>
              <w:rPr>
                <w:rFonts w:ascii="Arial" w:hAnsi="Arial"/>
                <w:sz w:val="21"/>
              </w:rPr>
            </w:pPr>
            <w:r>
              <w:rPr>
                <w:rFonts w:ascii="Arial" w:hAnsi="Arial"/>
                <w:b w:val="1"/>
                <w:sz w:val="21"/>
              </w:rPr>
              <w:t>NOTE: List of major brands for coding SEE BELOW. IF indicates "need to prompt with Follow-Up question Q2," ask Q2 after asking main question Q1. Follow-up prompt appears for certain brands that produce regular and little cigars.</w:t>
            </w:r>
          </w:p>
          <w:p>
            <w:pPr>
              <w:spacing w:before="240" w:after="240"/>
              <w:ind w:left="0" w:right="0"/>
              <w:rPr>
                <w:rFonts w:ascii="Arial" w:hAnsi="Arial"/>
                <w:sz w:val="21"/>
              </w:rPr>
            </w:pPr>
            <w:r>
              <w:rPr>
                <w:rFonts w:ascii="Arial" w:hAnsi="Arial"/>
                <w:sz w:val="21"/>
              </w:rPr>
              <w:t>THE UNREAD CODES FOR INTERVIEWER ENTRY ARE:</w:t>
            </w:r>
          </w:p>
          <w:p>
            <w:pPr>
              <w:spacing w:before="240" w:after="240"/>
              <w:ind w:left="0" w:right="0"/>
              <w:rPr>
                <w:rFonts w:ascii="Arial" w:hAnsi="Arial"/>
                <w:sz w:val="21"/>
              </w:rPr>
            </w:pPr>
            <w:r>
              <w:rPr>
                <w:rFonts w:ascii="Arial" w:hAnsi="Arial"/>
                <w:sz w:val="21"/>
              </w:rPr>
              <w:t>1 [ ] Al Capone (makes regular and little/small cigars)</w:t>
            </w:r>
          </w:p>
          <w:p>
            <w:pPr>
              <w:spacing w:before="240" w:after="240"/>
              <w:ind w:left="0" w:right="0"/>
              <w:rPr>
                <w:rFonts w:ascii="Arial" w:hAnsi="Arial"/>
                <w:sz w:val="21"/>
              </w:rPr>
            </w:pPr>
            <w:r>
              <w:rPr>
                <w:rFonts w:ascii="Arial" w:hAnsi="Arial"/>
                <w:sz w:val="21"/>
              </w:rPr>
              <w:t>2 [ ] Backwoods (regular only)</w:t>
            </w:r>
          </w:p>
          <w:p>
            <w:pPr>
              <w:spacing w:before="240" w:after="240"/>
              <w:ind w:left="0" w:right="0"/>
              <w:rPr>
                <w:rFonts w:ascii="Arial" w:hAnsi="Arial"/>
                <w:sz w:val="21"/>
              </w:rPr>
            </w:pPr>
            <w:r>
              <w:rPr>
                <w:rFonts w:ascii="Arial" w:hAnsi="Arial"/>
                <w:sz w:val="21"/>
              </w:rPr>
              <w:t xml:space="preserve">3 [ ] Black &amp; Milds (makes regular and </w:t>
            </w:r>
            <w:r>
              <w:rPr>
                <w:rFonts w:ascii="Arial" w:hAnsi="Arial"/>
                <w:i w:val="1"/>
                <w:sz w:val="21"/>
              </w:rPr>
              <w:t>cigarillo</w:t>
            </w:r>
            <w:r>
              <w:rPr>
                <w:rFonts w:ascii="Arial" w:hAnsi="Arial"/>
                <w:sz w:val="21"/>
              </w:rPr>
              <w:t>-medium size cigars) (in Spanish use "medium size cigars " instead of the word "cigarillo" here) with plastic hard filters)</w:t>
            </w:r>
          </w:p>
          <w:p>
            <w:pPr>
              <w:spacing w:before="240" w:after="240"/>
              <w:ind w:left="0" w:right="0"/>
              <w:rPr>
                <w:rFonts w:ascii="Arial" w:hAnsi="Arial"/>
                <w:sz w:val="21"/>
              </w:rPr>
            </w:pPr>
            <w:r>
              <w:rPr>
                <w:rFonts w:ascii="Arial" w:hAnsi="Arial"/>
                <w:sz w:val="21"/>
              </w:rPr>
              <w:t>4 [ ] Captain Black (little only)</w:t>
            </w:r>
          </w:p>
          <w:p>
            <w:pPr>
              <w:spacing w:before="240" w:after="240"/>
              <w:ind w:left="0" w:right="0"/>
              <w:rPr>
                <w:rFonts w:ascii="Arial" w:hAnsi="Arial"/>
                <w:sz w:val="21"/>
              </w:rPr>
            </w:pPr>
            <w:r>
              <w:rPr>
                <w:rFonts w:ascii="Arial" w:hAnsi="Arial"/>
                <w:sz w:val="21"/>
              </w:rPr>
              <w:t>5 [ ] Dutch Masters (regular/large cigar)</w:t>
            </w:r>
          </w:p>
          <w:p>
            <w:pPr>
              <w:spacing w:before="240" w:after="240"/>
              <w:ind w:left="0" w:right="0"/>
              <w:rPr>
                <w:rFonts w:ascii="Arial" w:hAnsi="Arial"/>
                <w:sz w:val="21"/>
              </w:rPr>
            </w:pPr>
            <w:r>
              <w:rPr>
                <w:rFonts w:ascii="Arial" w:hAnsi="Arial"/>
                <w:sz w:val="21"/>
              </w:rPr>
              <w:t>6 [ ] Dutch Treats (little cigar)</w:t>
            </w:r>
          </w:p>
          <w:p>
            <w:pPr>
              <w:spacing w:before="240" w:after="240"/>
              <w:ind w:left="0" w:right="0"/>
              <w:rPr>
                <w:rFonts w:ascii="Arial" w:hAnsi="Arial"/>
                <w:sz w:val="21"/>
              </w:rPr>
            </w:pPr>
            <w:r>
              <w:rPr>
                <w:rFonts w:ascii="Arial" w:hAnsi="Arial"/>
                <w:sz w:val="21"/>
              </w:rPr>
              <w:t>7 [ ] Erik (little only)</w:t>
            </w:r>
          </w:p>
          <w:p>
            <w:pPr>
              <w:spacing w:before="240" w:after="240"/>
              <w:ind w:left="0" w:right="0"/>
              <w:rPr>
                <w:rFonts w:ascii="Arial" w:hAnsi="Arial"/>
                <w:sz w:val="21"/>
              </w:rPr>
            </w:pPr>
            <w:r>
              <w:rPr>
                <w:rFonts w:ascii="Arial" w:hAnsi="Arial"/>
                <w:sz w:val="21"/>
              </w:rPr>
              <w:t>8 [ ] Hav-a-tampa (makes regular and little/small cigars)</w:t>
            </w:r>
          </w:p>
          <w:p>
            <w:pPr>
              <w:spacing w:before="240" w:after="240"/>
              <w:ind w:left="0" w:right="0"/>
              <w:rPr>
                <w:rFonts w:ascii="Arial" w:hAnsi="Arial"/>
                <w:sz w:val="21"/>
              </w:rPr>
            </w:pPr>
            <w:r>
              <w:rPr>
                <w:rFonts w:ascii="Arial" w:hAnsi="Arial"/>
                <w:sz w:val="21"/>
              </w:rPr>
              <w:t>9 [ ] King Edward( makes regular and little/small cigars)</w:t>
            </w:r>
          </w:p>
          <w:p>
            <w:pPr>
              <w:spacing w:before="240" w:after="240"/>
              <w:ind w:left="0" w:right="0"/>
              <w:rPr>
                <w:rFonts w:ascii="Arial" w:hAnsi="Arial"/>
                <w:sz w:val="21"/>
              </w:rPr>
            </w:pPr>
            <w:r>
              <w:rPr>
                <w:rFonts w:ascii="Arial" w:hAnsi="Arial"/>
                <w:sz w:val="21"/>
              </w:rPr>
              <w:t>10 [ ] Muriel (makes regular and little/small cigars)</w:t>
            </w:r>
          </w:p>
          <w:p>
            <w:pPr>
              <w:spacing w:before="240" w:after="240"/>
              <w:ind w:left="0" w:right="0"/>
              <w:rPr>
                <w:rFonts w:ascii="Arial" w:hAnsi="Arial"/>
                <w:sz w:val="21"/>
              </w:rPr>
            </w:pPr>
            <w:r>
              <w:rPr>
                <w:rFonts w:ascii="Arial" w:hAnsi="Arial"/>
                <w:sz w:val="21"/>
              </w:rPr>
              <w:t>11 [ ] Phillies (makes regular and little/small cigars)</w:t>
            </w:r>
          </w:p>
          <w:p>
            <w:pPr>
              <w:spacing w:before="240" w:after="240"/>
              <w:ind w:left="0" w:right="0"/>
              <w:rPr>
                <w:rFonts w:ascii="Arial" w:hAnsi="Arial"/>
                <w:sz w:val="21"/>
              </w:rPr>
            </w:pPr>
            <w:r>
              <w:rPr>
                <w:rFonts w:ascii="Arial" w:hAnsi="Arial"/>
                <w:sz w:val="21"/>
              </w:rPr>
              <w:t>12 [ ] Prime Time (little only)</w:t>
            </w:r>
          </w:p>
          <w:p>
            <w:pPr>
              <w:spacing w:before="240" w:after="240"/>
              <w:ind w:left="0" w:right="0"/>
              <w:rPr>
                <w:rFonts w:ascii="Arial" w:hAnsi="Arial"/>
                <w:sz w:val="21"/>
              </w:rPr>
            </w:pPr>
            <w:r>
              <w:rPr>
                <w:rFonts w:ascii="Arial" w:hAnsi="Arial"/>
                <w:sz w:val="21"/>
              </w:rPr>
              <w:t>13 [ ] Smoker’s Choice (little only)</w:t>
            </w:r>
          </w:p>
          <w:p>
            <w:pPr>
              <w:spacing w:before="240" w:after="240"/>
              <w:ind w:left="0" w:right="0"/>
              <w:rPr>
                <w:rFonts w:ascii="Arial" w:hAnsi="Arial"/>
                <w:sz w:val="21"/>
              </w:rPr>
            </w:pPr>
            <w:r>
              <w:rPr>
                <w:rFonts w:ascii="Arial" w:hAnsi="Arial"/>
                <w:sz w:val="21"/>
              </w:rPr>
              <w:t>14 [ ] Swisher Sweet* (makes regular and little/small cigars)</w:t>
            </w:r>
          </w:p>
          <w:p>
            <w:pPr>
              <w:spacing w:before="240" w:after="240"/>
              <w:ind w:left="0" w:right="0"/>
              <w:rPr>
                <w:rFonts w:ascii="Arial" w:hAnsi="Arial"/>
                <w:sz w:val="21"/>
              </w:rPr>
            </w:pPr>
            <w:r>
              <w:rPr>
                <w:rFonts w:ascii="Arial" w:hAnsi="Arial"/>
                <w:sz w:val="21"/>
              </w:rPr>
              <w:t>15 [ ] Other</w:t>
            </w:r>
          </w:p>
          <w:p>
            <w:pPr>
              <w:spacing w:before="240" w:after="240"/>
              <w:ind w:left="0" w:right="0"/>
              <w:rPr>
                <w:rFonts w:ascii="Arial" w:hAnsi="Arial"/>
                <w:sz w:val="21"/>
              </w:rPr>
            </w:pPr>
            <w:r>
              <w:rPr>
                <w:rFonts w:ascii="Arial" w:hAnsi="Arial"/>
                <w:sz w:val="21"/>
              </w:rPr>
              <w:t>2. Is that a regular or little cigar? Little cigars are cigarette size with a filter.</w:t>
            </w:r>
          </w:p>
          <w:p>
            <w:pPr>
              <w:spacing w:before="240" w:after="240"/>
              <w:ind w:left="0" w:right="0"/>
              <w:rPr>
                <w:rFonts w:ascii="Arial" w:hAnsi="Arial"/>
                <w:sz w:val="21"/>
              </w:rPr>
            </w:pPr>
            <w:r>
              <w:rPr>
                <w:rFonts w:ascii="Arial" w:hAnsi="Arial"/>
                <w:sz w:val="21"/>
              </w:rPr>
              <w:t>1 [ ] Regular cigar</w:t>
            </w:r>
          </w:p>
          <w:p>
            <w:pPr>
              <w:spacing w:before="240" w:after="240"/>
              <w:ind w:left="0" w:right="0"/>
              <w:rPr>
                <w:rFonts w:ascii="Arial" w:hAnsi="Arial"/>
                <w:sz w:val="21"/>
              </w:rPr>
            </w:pPr>
            <w:r>
              <w:rPr>
                <w:rFonts w:ascii="Arial" w:hAnsi="Arial"/>
                <w:sz w:val="21"/>
              </w:rPr>
              <w:t>2 [ ] Little/small cigars</w:t>
            </w:r>
          </w:p>
          <w:p>
            <w:pPr>
              <w:spacing w:before="240" w:after="240"/>
              <w:ind w:left="0" w:right="0"/>
              <w:rPr>
                <w:rFonts w:ascii="Arial" w:hAnsi="Arial"/>
                <w:sz w:val="21"/>
              </w:rPr>
            </w:pPr>
            <w:r>
              <w:rPr>
                <w:rFonts w:ascii="Arial" w:hAnsi="Arial"/>
                <w:sz w:val="21"/>
              </w:rPr>
              <w:t>3 [ ] None of the above;</w:t>
            </w:r>
          </w:p>
          <w:p>
            <w:pPr>
              <w:spacing w:before="240" w:after="240"/>
              <w:ind w:left="0" w:right="0"/>
              <w:rPr>
                <w:rFonts w:ascii="Arial" w:hAnsi="Arial"/>
                <w:sz w:val="21"/>
              </w:rPr>
            </w:pPr>
            <w:r>
              <w:rPr>
                <w:rFonts w:ascii="Arial" w:hAnsi="Arial"/>
                <w:sz w:val="21"/>
              </w:rPr>
              <w:t>4 [ ] Don’t Know; Refused</w:t>
            </w:r>
          </w:p>
          <w:p>
            <w:pPr>
              <w:spacing w:before="240" w:after="240"/>
              <w:ind w:left="0" w:right="0"/>
              <w:rPr>
                <w:rFonts w:ascii="Arial" w:hAnsi="Arial"/>
                <w:sz w:val="21"/>
              </w:rPr>
            </w:pPr>
            <w:r>
              <w:rPr>
                <w:rFonts w:ascii="Arial" w:hAnsi="Arial"/>
                <w:sz w:val="21"/>
              </w:rPr>
              <w:t xml:space="preserve">3. During the past 30 days, did you </w:t>
            </w:r>
            <w:r>
              <w:rPr>
                <w:rFonts w:ascii="Arial" w:hAnsi="Arial"/>
                <w:b w:val="1"/>
                <w:sz w:val="21"/>
              </w:rPr>
              <w:t>USUALLY</w:t>
            </w:r>
            <w:r>
              <w:rPr>
                <w:rFonts w:ascii="Arial" w:hAnsi="Arial"/>
                <w:sz w:val="21"/>
              </w:rPr>
              <w:t xml:space="preserve"> smoke flavored cigars? By flavored we mean fruit, candy, alcohol, clove or any other flavorings.</w:t>
            </w:r>
          </w:p>
          <w:p>
            <w:pPr>
              <w:spacing w:before="240" w:after="240"/>
              <w:ind w:left="0" w:right="0"/>
              <w:rPr>
                <w:rFonts w:ascii="Arial" w:hAnsi="Arial"/>
                <w:sz w:val="21"/>
              </w:rPr>
            </w:pPr>
            <w:r>
              <w:rPr>
                <w:rFonts w:ascii="Arial" w:hAnsi="Arial"/>
                <w:sz w:val="21"/>
              </w:rPr>
              <w:t>1 [ ] Yes</w:t>
            </w:r>
          </w:p>
          <w:p>
            <w:pPr>
              <w:spacing w:before="240" w:after="240"/>
              <w:ind w:left="0" w:right="0"/>
              <w:rPr>
                <w:rFonts w:ascii="Arial" w:hAnsi="Arial"/>
                <w:sz w:val="21"/>
              </w:rPr>
            </w:pPr>
            <w:r>
              <w:rPr>
                <w:rFonts w:ascii="Arial" w:hAnsi="Arial"/>
                <w:sz w:val="21"/>
              </w:rPr>
              <w:t xml:space="preserve">2 [ ] No </w:t>
            </w:r>
          </w:p>
        </w:tc>
      </w:tr>
      <w:tr>
        <w:tc>
          <w:tcPr>
            <w:tcW w:w="1000" w:type="pct"/>
            <w:vAlign w:val="center"/>
          </w:tcPr>
          <w:p>
            <w:pPr>
              <w:spacing w:before="240" w:after="240"/>
              <w:ind w:left="0" w:right="0"/>
              <w:rPr>
                <w:rFonts w:ascii="Arial" w:hAnsi="Arial"/>
                <w:sz w:val="21"/>
              </w:rPr>
            </w:pPr>
            <w:r>
              <w:rPr>
                <w:rFonts w:ascii="Arial" w:hAnsi="Arial"/>
                <w:b w:val="1"/>
                <w:sz w:val="21"/>
              </w:rPr>
              <w:t>Selection Rationale:</w:t>
            </w:r>
          </w:p>
        </w:tc>
        <w:tc>
          <w:tcPr>
            <w:tcW w:w="0" w:type="auto"/>
            <w:vAlign w:val="center"/>
          </w:tcPr>
          <w:p>
            <w:pPr>
              <w:spacing w:before="240" w:after="240"/>
              <w:ind w:left="0" w:right="0"/>
              <w:rPr>
                <w:rFonts w:ascii="Arial" w:hAnsi="Arial"/>
                <w:sz w:val="21"/>
              </w:rPr>
            </w:pPr>
            <w:r>
              <w:rPr>
                <w:rFonts w:ascii="Arial" w:hAnsi="Arial"/>
                <w:sz w:val="21"/>
              </w:rPr>
              <w:t>The protocol from the Tobacco Use Supplement to the Current Population Survey (TUS-CPS) was chosen because it is a large survey (each survey wave includes about 240,000 respondents) of the U.S. non-institutionalized civilian population of adults that has been conducted since 1992 in a consistent manner.</w:t>
            </w:r>
          </w:p>
        </w:tc>
      </w:tr>
      <w:tr>
        <w:tc>
          <w:tcPr>
            <w:tcW w:w="1000" w:type="pct"/>
            <w:vAlign w:val="center"/>
          </w:tcPr>
          <w:p>
            <w:pPr>
              <w:spacing w:before="240" w:after="240"/>
              <w:ind w:left="0" w:right="0"/>
              <w:rPr>
                <w:rFonts w:ascii="Arial" w:hAnsi="Arial"/>
                <w:sz w:val="21"/>
              </w:rPr>
            </w:pPr>
            <w:r>
              <w:rPr>
                <w:rFonts w:ascii="Arial" w:hAnsi="Arial"/>
                <w:b w:val="1"/>
                <w:sz w:val="21"/>
              </w:rPr>
              <w:t>Source:</w:t>
            </w:r>
          </w:p>
        </w:tc>
        <w:tc>
          <w:tcPr>
            <w:tcW w:w="0" w:type="auto"/>
            <w:vAlign w:val="center"/>
          </w:tcPr>
          <w:p>
            <w:pPr>
              <w:spacing w:before="240" w:after="240"/>
              <w:ind w:left="0" w:right="0"/>
              <w:rPr>
                <w:rFonts w:ascii="Arial" w:hAnsi="Arial"/>
                <w:sz w:val="21"/>
              </w:rPr>
            </w:pPr>
            <w:r>
              <w:rPr>
                <w:rFonts w:ascii="Arial" w:hAnsi="Arial"/>
                <w:sz w:val="21"/>
              </w:rPr>
              <w:t>U.S. Department of Commerce, Census Bureau (2008). National Cancer Institute and Centers for Disease Control and Prevention Co-sponsored Tobacco Use Supplement to the Current Population Survey (2010-2011) Technical documentation (question Jc, Jcpro, and Jcflavr).</w:t>
            </w:r>
          </w:p>
        </w:tc>
      </w:tr>
      <w:tr>
        <w:tc>
          <w:tcPr>
            <w:tcW w:w="1000" w:type="pct"/>
            <w:vAlign w:val="center"/>
          </w:tcPr>
          <w:p>
            <w:pPr>
              <w:spacing w:before="240" w:after="240"/>
              <w:ind w:left="0" w:right="0"/>
              <w:rPr>
                <w:rFonts w:ascii="Arial" w:hAnsi="Arial"/>
                <w:sz w:val="21"/>
              </w:rPr>
            </w:pPr>
            <w:r>
              <w:rPr>
                <w:rFonts w:ascii="Arial" w:hAnsi="Arial"/>
                <w:b w:val="1"/>
                <w:sz w:val="21"/>
              </w:rPr>
              <w:t>Language</w:t>
            </w:r>
          </w:p>
        </w:tc>
        <w:tc>
          <w:tcPr>
            <w:tcW w:w="0" w:type="auto"/>
            <w:vAlign w:val="center"/>
          </w:tcPr>
          <w:p>
            <w:pPr>
              <w:ind w:left="0" w:right="0"/>
            </w:pPr>
            <w:r>
              <w:rPr>
                <w:rFonts w:ascii="Arial" w:hAnsi="Arial"/>
                <w:sz w:val="21"/>
              </w:rPr>
              <w:t>English</w:t>
              <w:br w:type="textWrapping"/>
              <w:t xml:space="preserve">Other languages available at source </w:t>
            </w:r>
          </w:p>
        </w:tc>
      </w:tr>
      <w:tr>
        <w:tc>
          <w:tcPr>
            <w:tcW w:w="1000" w:type="pct"/>
            <w:vAlign w:val="center"/>
          </w:tcPr>
          <w:p>
            <w:pPr>
              <w:spacing w:before="240" w:after="240"/>
              <w:ind w:left="0" w:right="0"/>
              <w:rPr>
                <w:rFonts w:ascii="Arial" w:hAnsi="Arial"/>
                <w:sz w:val="21"/>
              </w:rPr>
            </w:pPr>
            <w:r>
              <w:rPr>
                <w:rFonts w:ascii="Arial" w:hAnsi="Arial"/>
                <w:b w:val="1"/>
                <w:sz w:val="21"/>
              </w:rPr>
              <w:t>Participant:</w:t>
            </w:r>
          </w:p>
        </w:tc>
        <w:tc>
          <w:tcPr>
            <w:tcW w:w="0" w:type="auto"/>
            <w:vAlign w:val="center"/>
          </w:tcPr>
          <w:p>
            <w:pPr>
              <w:spacing w:before="240" w:after="240"/>
              <w:ind w:left="0" w:right="0"/>
              <w:rPr>
                <w:rFonts w:ascii="Arial" w:hAnsi="Arial"/>
                <w:sz w:val="21"/>
              </w:rPr>
            </w:pPr>
            <w:r>
              <w:rPr>
                <w:rFonts w:ascii="Arial" w:hAnsi="Arial"/>
                <w:sz w:val="21"/>
              </w:rPr>
              <w:t>Adults (18+) and adolescents ages 12 - 17.</w:t>
            </w:r>
          </w:p>
        </w:tc>
      </w:tr>
      <w:tr>
        <w:tc>
          <w:tcPr>
            <w:tcW w:w="1000" w:type="pct"/>
            <w:vAlign w:val="center"/>
          </w:tcPr>
          <w:p>
            <w:pPr>
              <w:spacing w:before="240" w:after="240"/>
              <w:ind w:left="0" w:right="0"/>
              <w:rPr>
                <w:rFonts w:ascii="Arial" w:hAnsi="Arial"/>
                <w:sz w:val="21"/>
              </w:rPr>
            </w:pPr>
            <w:r>
              <w:rPr>
                <w:rFonts w:ascii="Arial" w:hAnsi="Arial"/>
                <w:b w:val="1"/>
                <w:sz w:val="21"/>
              </w:rPr>
              <w:t>Personnel and Training Required:</w:t>
            </w:r>
          </w:p>
        </w:tc>
        <w:tc>
          <w:tcPr>
            <w:tcW w:w="0" w:type="auto"/>
            <w:vAlign w:val="center"/>
          </w:tcPr>
          <w:p>
            <w:pPr>
              <w:spacing w:before="240" w:after="240"/>
              <w:ind w:left="0" w:right="0"/>
              <w:rPr>
                <w:rFonts w:ascii="Arial" w:hAnsi="Arial"/>
                <w:sz w:val="21"/>
              </w:rPr>
            </w:pPr>
            <w:r>
              <w:rPr>
                <w:rFonts w:ascii="Arial" w:hAnsi="Arial"/>
                <w:sz w:val="21"/>
              </w:rPr>
              <w:t>The interviewer must be trained to conduct personal interviews with individuals from the general population. The interviewer must be trained and found to be competent (i.e., tested by an expert) at the completion of personal interviews. The interviewer should be trained to prompt respondents further if a "don’t know" response is provided.</w:t>
            </w:r>
          </w:p>
        </w:tc>
      </w:tr>
      <w:tr>
        <w:tc>
          <w:tcPr>
            <w:tcW w:w="1000" w:type="pct"/>
            <w:vAlign w:val="center"/>
          </w:tcPr>
          <w:p>
            <w:pPr>
              <w:spacing w:before="240" w:after="240"/>
              <w:ind w:left="0" w:right="0"/>
              <w:rPr>
                <w:rFonts w:ascii="Arial" w:hAnsi="Arial"/>
                <w:sz w:val="21"/>
              </w:rPr>
            </w:pPr>
            <w:r>
              <w:rPr>
                <w:rFonts w:ascii="Arial" w:hAnsi="Arial"/>
                <w:b w:val="1"/>
                <w:sz w:val="21"/>
              </w:rPr>
              <w:t>Equipment Needs: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Standards</w:t>
            </w:r>
          </w:p>
        </w:tc>
        <w:tc>
          <w:tcPr>
            <w:tcW w:w="0" w:type="auto"/>
            <w:vAlign w:val="center"/>
          </w:tcPr>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General References: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Mode of Administration:</w:t>
            </w:r>
          </w:p>
        </w:tc>
        <w:tc>
          <w:tcPr>
            <w:tcW w:w="0" w:type="auto"/>
            <w:vAlign w:val="center"/>
          </w:tcPr>
          <w:p>
            <w:pPr>
              <w:ind w:left="0" w:right="0"/>
            </w:pPr>
            <w:r>
              <w:rPr>
                <w:rFonts w:ascii="Arial" w:hAnsi="Arial"/>
                <w:sz w:val="21"/>
              </w:rPr>
              <w:t xml:space="preserve">Interviewer-administered questionnaire </w:t>
            </w:r>
          </w:p>
        </w:tc>
      </w:tr>
      <w:tr>
        <w:tc>
          <w:tcPr>
            <w:tcW w:w="1000" w:type="pct"/>
            <w:vAlign w:val="center"/>
          </w:tcPr>
          <w:p>
            <w:pPr>
              <w:spacing w:before="240" w:after="240"/>
              <w:ind w:left="0" w:right="0"/>
              <w:rPr>
                <w:rFonts w:ascii="Arial" w:hAnsi="Arial"/>
                <w:sz w:val="21"/>
              </w:rPr>
            </w:pPr>
            <w:r>
              <w:rPr>
                <w:rFonts w:ascii="Arial" w:hAnsi="Arial"/>
                <w:b w:val="1"/>
                <w:sz w:val="21"/>
              </w:rPr>
              <w:t>Derived Variables:</w:t>
            </w:r>
          </w:p>
        </w:tc>
        <w:tc>
          <w:tcPr>
            <w:tcW w:w="0" w:type="auto"/>
            <w:vAlign w:val="center"/>
          </w:tcPr>
          <w:p>
            <w:pPr>
              <w:spacing w:before="240" w:after="240"/>
              <w:ind w:left="0" w:right="0"/>
              <w:rPr>
                <w:rFonts w:ascii="Arial" w:hAnsi="Arial"/>
                <w:sz w:val="21"/>
              </w:rPr>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Requirements:</w:t>
            </w:r>
          </w:p>
        </w:tc>
        <w:tc>
          <w:tcPr>
            <w:tcW w:w="0" w:type="auto"/>
            <w:vAlign w:val="center"/>
          </w:tcPr>
          <w:tbl>
            <w:tblPr>
              <w:tblW w:w="0" w:type="auto"/>
              <w:tblInd w:w="0" w:type="dxa"/>
              <w:tblBorders>
                <w:top w:val="single" w:sz="6" w:space="0" w:shadow="0" w:frame="0" w:color="000000"/>
                <w:left w:val="single" w:sz="6" w:space="0" w:shadow="0" w:frame="0" w:color="000000"/>
                <w:bottom w:val="single" w:sz="6" w:space="0" w:shadow="0" w:frame="0" w:color="000000"/>
                <w:right w:val="single" w:sz="6" w:space="0" w:shadow="0" w:frame="0" w:color="000000"/>
                <w:insideH w:val="single" w:sz="6" w:space="0" w:shadow="0" w:frame="0" w:color="000000"/>
                <w:insideV w:val="single" w:sz="6" w:space="0" w:shadow="0" w:frame="0" w:color="000000"/>
              </w:tblBorders>
              <w:tblCellMar>
                <w:top w:w="15" w:type="dxa"/>
                <w:left w:w="15" w:type="dxa"/>
                <w:bottom w:w="15" w:type="dxa"/>
                <w:right w:w="15" w:type="dxa"/>
              </w:tblCellMar>
            </w:tblPr>
            <w:tblGrid/>
            <w:tr>
              <w:tc>
                <w:tcPr>
                  <w:tcW w:w="0" w:type="auto"/>
                  <w:vAlign w:val="center"/>
                </w:tcPr>
                <w:p>
                  <w:pPr>
                    <w:spacing w:before="240" w:after="240"/>
                    <w:ind w:left="0" w:right="0"/>
                    <w:rPr>
                      <w:rFonts w:ascii="Arial" w:hAnsi="Arial"/>
                      <w:sz w:val="21"/>
                    </w:rPr>
                  </w:pPr>
                  <w:r>
                    <w:rPr>
                      <w:rFonts w:ascii="Arial" w:hAnsi="Arial"/>
                      <w:b w:val="1"/>
                      <w:sz w:val="21"/>
                    </w:rPr>
                    <w:t>Requirement Category</w:t>
                  </w:r>
                </w:p>
              </w:tc>
              <w:tc>
                <w:tcPr>
                  <w:tcW w:w="0" w:type="auto"/>
                  <w:vAlign w:val="center"/>
                </w:tcPr>
                <w:p>
                  <w:pPr>
                    <w:spacing w:before="240" w:after="240"/>
                    <w:ind w:left="0" w:right="0"/>
                    <w:rPr>
                      <w:rFonts w:ascii="Arial" w:hAnsi="Arial"/>
                      <w:sz w:val="21"/>
                    </w:rPr>
                  </w:pPr>
                  <w:r>
                    <w:rPr>
                      <w:rFonts w:ascii="Arial" w:hAnsi="Arial"/>
                      <w:b w:val="1"/>
                      <w:sz w:val="21"/>
                    </w:rPr>
                    <w:t>Required (Yes/No)</w:t>
                  </w:r>
                </w:p>
              </w:tc>
            </w:tr>
            <w:tr>
              <w:tc>
                <w:tcPr>
                  <w:tcW w:w="0" w:type="auto"/>
                  <w:vAlign w:val="center"/>
                </w:tcPr>
                <w:p>
                  <w:pPr>
                    <w:spacing w:before="240" w:after="240"/>
                    <w:ind w:left="0" w:right="0"/>
                    <w:rPr>
                      <w:rFonts w:ascii="Arial" w:hAnsi="Arial"/>
                      <w:sz w:val="21"/>
                    </w:rPr>
                  </w:pPr>
                  <w:r>
                    <w:rPr>
                      <w:rFonts w:ascii="Arial" w:hAnsi="Arial"/>
                      <w:b w:val="1"/>
                      <w:sz w:val="21"/>
                    </w:rPr>
                    <w:t>Major equipment</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training</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Specialized requirements for biospecimen collection</w:t>
                  </w:r>
                </w:p>
              </w:tc>
              <w:tc>
                <w:tcPr>
                  <w:tcW w:w="0" w:type="auto"/>
                  <w:vAlign w:val="center"/>
                </w:tcPr>
                <w:p>
                  <w:pPr>
                    <w:spacing w:before="240" w:after="240"/>
                    <w:ind w:left="0" w:right="0"/>
                    <w:rPr>
                      <w:rFonts w:ascii="Arial" w:hAnsi="Arial"/>
                      <w:sz w:val="21"/>
                    </w:rPr>
                  </w:pPr>
                  <w:r>
                    <w:rPr>
                      <w:rFonts w:ascii="Arial" w:hAnsi="Arial"/>
                      <w:sz w:val="21"/>
                    </w:rPr>
                    <w:t>No</w:t>
                  </w:r>
                </w:p>
              </w:tc>
            </w:tr>
            <w:tr>
              <w:tc>
                <w:tcPr>
                  <w:tcW w:w="0" w:type="auto"/>
                  <w:vAlign w:val="center"/>
                </w:tcPr>
                <w:p>
                  <w:pPr>
                    <w:spacing w:before="240" w:after="240"/>
                    <w:ind w:left="0" w:right="0"/>
                    <w:rPr>
                      <w:rFonts w:ascii="Arial" w:hAnsi="Arial"/>
                      <w:sz w:val="21"/>
                    </w:rPr>
                  </w:pPr>
                  <w:r>
                    <w:rPr>
                      <w:rFonts w:ascii="Arial" w:hAnsi="Arial"/>
                      <w:b w:val="1"/>
                      <w:sz w:val="21"/>
                    </w:rPr>
                    <w:t>Average time of greater than 15 minutes in an unaffected individual</w:t>
                  </w:r>
                </w:p>
              </w:tc>
              <w:tc>
                <w:tcPr>
                  <w:tcW w:w="0" w:type="auto"/>
                  <w:vAlign w:val="center"/>
                </w:tcPr>
                <w:p>
                  <w:pPr>
                    <w:spacing w:before="240" w:after="240"/>
                    <w:ind w:left="0" w:right="0"/>
                    <w:rPr>
                      <w:rFonts w:ascii="Arial" w:hAnsi="Arial"/>
                      <w:sz w:val="21"/>
                    </w:rPr>
                  </w:pPr>
                  <w:r>
                    <w:rPr>
                      <w:rFonts w:ascii="Arial" w:hAnsi="Arial"/>
                      <w:sz w:val="21"/>
                    </w:rPr>
                    <w:t>No</w:t>
                  </w:r>
                </w:p>
              </w:tc>
            </w:tr>
          </w:tbl>
          <w:p>
            <w:pPr>
              <w:ind w:left="0" w:right="0"/>
            </w:pPr>
          </w:p>
        </w:tc>
      </w:tr>
      <w:tr>
        <w:tc>
          <w:tcPr>
            <w:tcW w:w="1000" w:type="pct"/>
            <w:vAlign w:val="center"/>
          </w:tcPr>
          <w:p>
            <w:pPr>
              <w:spacing w:before="240" w:after="240"/>
              <w:ind w:left="0" w:right="0"/>
              <w:rPr>
                <w:rFonts w:ascii="Arial" w:hAnsi="Arial"/>
                <w:sz w:val="21"/>
              </w:rPr>
            </w:pPr>
            <w:r>
              <w:rPr>
                <w:rFonts w:ascii="Arial" w:hAnsi="Arial"/>
                <w:b w:val="1"/>
                <w:sz w:val="21"/>
              </w:rPr>
              <w:t>Annotations for Specific Conditions:</w:t>
            </w:r>
          </w:p>
        </w:tc>
        <w:tc>
          <w:tcPr>
            <w:tcW w:w="0" w:type="auto"/>
            <w:vAlign w:val="center"/>
          </w:tcPr>
          <w:p>
            <w:pPr>
              <w:ind w:left="0" w:right="0"/>
            </w:pPr>
            <w:r>
              <w:rPr>
                <w:rFonts w:ascii="Arial" w:hAnsi="Arial"/>
                <w:sz w:val="21"/>
              </w:rPr>
              <w:t>None</w:t>
            </w:r>
          </w:p>
        </w:tc>
      </w:tr>
      <w:tr>
        <w:tc>
          <w:tcPr>
            <w:tcW w:w="1000" w:type="pct"/>
            <w:vAlign w:val="center"/>
          </w:tcPr>
          <w:p>
            <w:pPr>
              <w:spacing w:before="240" w:after="240"/>
              <w:ind w:left="0" w:right="0"/>
              <w:rPr>
                <w:rFonts w:ascii="Arial" w:hAnsi="Arial"/>
                <w:sz w:val="21"/>
              </w:rPr>
            </w:pPr>
            <w:r>
              <w:rPr>
                <w:rFonts w:ascii="Arial" w:hAnsi="Arial"/>
                <w:b w:val="1"/>
                <w:sz w:val="21"/>
              </w:rPr>
              <w:t>Process and Review:</w:t>
            </w:r>
          </w:p>
        </w:tc>
        <w:tc>
          <w:tcPr>
            <w:tcW w:w="0" w:type="auto"/>
            <w:vAlign w:val="center"/>
          </w:tcPr>
          <w:p>
            <w:pPr>
              <w:ind w:left="0" w:right="0"/>
            </w:pPr>
            <w:r>
              <w:rPr>
                <w:rFonts w:ascii="Arial" w:hAnsi="Arial"/>
                <w:sz w:val="21"/>
              </w:rPr>
              <w:t xml:space="preserve">Not applicable. </w:t>
            </w:r>
          </w:p>
        </w:tc>
      </w:tr>
    </w:tbl>
    <w:p>
      <w:pPr>
        <w:spacing w:before="240" w:after="240"/>
        <w:ind w:firstLine="0" w:left="0" w:right="0"/>
      </w:pPr>
    </w:p>
    <w:sectPr>
      <w:type w:val="nextPage"/>
      <w:pgMar w:left="1700" w:right="850" w:top="1133" w:bottom="1133"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2024-04-23T17:00:11Z</dcterms:created>
  <cp:lastModifiedBy>Williams (He/Him), David</cp:lastModifiedBy>
  <dcterms:modified xsi:type="dcterms:W3CDTF">2024-04-23T17:00:11Z</dcterms:modified>
  <cp:revision>1</cp:revision>
</cp:coreProperties>
</file>