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5"/>
        <w:gridCol w:w="8125"/>
      </w:tblGrid>
      <w:tr w:rsidR="00D97FDE" w:rsidRPr="00963FC3">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7"/>
                <w:szCs w:val="27"/>
              </w:rPr>
            </w:pPr>
            <w:r w:rsidRPr="00963FC3">
              <w:rPr>
                <w:rStyle w:val="Strong"/>
                <w:rFonts w:ascii="Trebuchet MS" w:hAnsi="Trebuchet MS"/>
                <w:sz w:val="27"/>
                <w:szCs w:val="27"/>
              </w:rPr>
              <w:t>Respiratory Rate - Child</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91402</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 xml:space="preserve">A study staff member counts the number of complete respiratory cycles (one inspiration and </w:t>
            </w:r>
            <w:proofErr w:type="gramStart"/>
            <w:r w:rsidRPr="00963FC3">
              <w:rPr>
                <w:rFonts w:ascii="Trebuchet MS" w:hAnsi="Trebuchet MS"/>
                <w:sz w:val="21"/>
                <w:szCs w:val="21"/>
              </w:rPr>
              <w:t>one expiration</w:t>
            </w:r>
            <w:proofErr w:type="gramEnd"/>
            <w:r w:rsidRPr="00963FC3">
              <w:rPr>
                <w:rFonts w:ascii="Trebuchet MS" w:hAnsi="Trebuchet MS"/>
                <w:sz w:val="21"/>
                <w:szCs w:val="21"/>
              </w:rPr>
              <w:t>) a subject 4 to 16 years of age breathes in 60 seconds.</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The protocol for children should be administered in a quiet place where the child can remain calm. The observer or listener should reliably count or listen to the child’s respiratory cycles for up to 60 seconds and observe the child’s respiratory pattern.</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2D721F" w:rsidRPr="00963FC3" w:rsidRDefault="002D721F" w:rsidP="002D721F">
            <w:pPr>
              <w:shd w:val="clear" w:color="auto" w:fill="FFFFFF"/>
              <w:spacing w:before="100" w:beforeAutospacing="1" w:after="100" w:afterAutospacing="1"/>
              <w:rPr>
                <w:rFonts w:ascii="Trebuchet MS" w:hAnsi="Trebuchet MS"/>
                <w:sz w:val="21"/>
                <w:szCs w:val="21"/>
              </w:rPr>
            </w:pPr>
            <w:r w:rsidRPr="00963FC3">
              <w:rPr>
                <w:rFonts w:ascii="Trebuchet MS" w:hAnsi="Trebuchet MS"/>
                <w:sz w:val="21"/>
                <w:szCs w:val="21"/>
              </w:rPr>
              <w:t>1) Use a watch which can measure time in seconds.</w:t>
            </w:r>
          </w:p>
          <w:p w:rsidR="002D721F" w:rsidRPr="00963FC3" w:rsidRDefault="002D721F" w:rsidP="002D721F">
            <w:pPr>
              <w:shd w:val="clear" w:color="auto" w:fill="FFFFFF"/>
              <w:spacing w:before="100" w:beforeAutospacing="1" w:after="100" w:afterAutospacing="1"/>
              <w:rPr>
                <w:rFonts w:ascii="Trebuchet MS" w:hAnsi="Trebuchet MS"/>
                <w:sz w:val="21"/>
                <w:szCs w:val="21"/>
              </w:rPr>
            </w:pPr>
            <w:r w:rsidRPr="00963FC3">
              <w:rPr>
                <w:rFonts w:ascii="Trebuchet MS" w:hAnsi="Trebuchet MS"/>
                <w:sz w:val="21"/>
                <w:szCs w:val="21"/>
              </w:rPr>
              <w:t>2) Child (4-16 years of age) should be seated, may be awake or asleep but should be calm, not agitated; observe a complete respiratory cycle and count partial respiratory cycles as complete.</w:t>
            </w:r>
          </w:p>
          <w:p w:rsidR="002D721F" w:rsidRPr="00963FC3" w:rsidRDefault="002D721F" w:rsidP="002D721F">
            <w:pPr>
              <w:shd w:val="clear" w:color="auto" w:fill="FFFFFF"/>
              <w:spacing w:before="100" w:beforeAutospacing="1" w:after="100" w:afterAutospacing="1"/>
              <w:rPr>
                <w:rFonts w:ascii="Trebuchet MS" w:hAnsi="Trebuchet MS"/>
                <w:sz w:val="21"/>
                <w:szCs w:val="21"/>
              </w:rPr>
            </w:pPr>
            <w:r w:rsidRPr="00963FC3">
              <w:rPr>
                <w:rFonts w:ascii="Trebuchet MS" w:hAnsi="Trebuchet MS"/>
                <w:sz w:val="21"/>
                <w:szCs w:val="21"/>
              </w:rPr>
              <w:t>4) Count the number of respirations for 60 seconds or in two separate blocks of 30 seconds each.</w:t>
            </w:r>
          </w:p>
          <w:p w:rsidR="002D721F" w:rsidRPr="00963FC3" w:rsidRDefault="002D721F" w:rsidP="002D721F">
            <w:pPr>
              <w:shd w:val="clear" w:color="auto" w:fill="FFFFFF"/>
              <w:spacing w:before="100" w:beforeAutospacing="1" w:after="100" w:afterAutospacing="1"/>
              <w:rPr>
                <w:rFonts w:ascii="Trebuchet MS" w:hAnsi="Trebuchet MS"/>
                <w:sz w:val="21"/>
                <w:szCs w:val="21"/>
              </w:rPr>
            </w:pPr>
            <w:r w:rsidRPr="00963FC3">
              <w:rPr>
                <w:rFonts w:ascii="Trebuchet MS" w:hAnsi="Trebuchet MS"/>
                <w:sz w:val="21"/>
                <w:szCs w:val="21"/>
              </w:rPr>
              <w:t>5) While counting, note the child’s respiratory depth, breathing pattern, and depth of breathing.</w:t>
            </w:r>
          </w:p>
          <w:p w:rsidR="002D721F" w:rsidRPr="00963FC3" w:rsidRDefault="002D721F" w:rsidP="002D721F">
            <w:pPr>
              <w:shd w:val="clear" w:color="auto" w:fill="FFFFFF"/>
              <w:spacing w:before="100" w:beforeAutospacing="1" w:after="100" w:afterAutospacing="1"/>
              <w:rPr>
                <w:rFonts w:ascii="Trebuchet MS" w:hAnsi="Trebuchet MS"/>
                <w:sz w:val="21"/>
                <w:szCs w:val="21"/>
              </w:rPr>
            </w:pPr>
            <w:r w:rsidRPr="00963FC3">
              <w:rPr>
                <w:rFonts w:ascii="Trebuchet MS" w:hAnsi="Trebuchet MS"/>
                <w:sz w:val="21"/>
                <w:szCs w:val="21"/>
              </w:rPr>
              <w:t>6) Record the results.</w:t>
            </w:r>
          </w:p>
          <w:p w:rsidR="002D721F" w:rsidRPr="00963FC3" w:rsidRDefault="002D721F" w:rsidP="002D721F">
            <w:pPr>
              <w:rPr>
                <w:rFonts w:ascii="Trebuchet MS" w:hAnsi="Trebuchet MS"/>
                <w:sz w:val="21"/>
                <w:szCs w:val="21"/>
                <w:lang w:eastAsia="zh-CN"/>
              </w:rPr>
            </w:pP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Number of respiratory cycles in one minute:_______________</w:t>
            </w:r>
          </w:p>
          <w:p w:rsidR="002D721F" w:rsidRPr="00963FC3" w:rsidRDefault="002D721F" w:rsidP="002D721F">
            <w:pPr>
              <w:rPr>
                <w:rFonts w:ascii="Trebuchet MS" w:hAnsi="Trebuchet MS"/>
                <w:sz w:val="21"/>
                <w:szCs w:val="21"/>
                <w:lang w:eastAsia="zh-CN"/>
              </w:rPr>
            </w:pP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Respiratory depth comments:________________________________________________________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2D721F" w:rsidRPr="00963FC3" w:rsidRDefault="002D721F" w:rsidP="002D721F">
            <w:pPr>
              <w:rPr>
                <w:rFonts w:ascii="Trebuchet MS" w:hAnsi="Trebuchet MS"/>
                <w:sz w:val="21"/>
                <w:szCs w:val="21"/>
                <w:lang w:eastAsia="zh-CN"/>
              </w:rPr>
            </w:pP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Breathing pattern comments:________________________________________________________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2D721F" w:rsidRPr="00963FC3" w:rsidRDefault="002D721F" w:rsidP="002D721F">
            <w:pPr>
              <w:rPr>
                <w:rFonts w:ascii="Trebuchet MS" w:hAnsi="Trebuchet MS"/>
                <w:sz w:val="21"/>
                <w:szCs w:val="21"/>
                <w:lang w:eastAsia="zh-CN"/>
              </w:rPr>
            </w:pP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Breathing depth comments:________________________________________________________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2D721F" w:rsidRPr="00963FC3" w:rsidRDefault="002D721F" w:rsidP="002D721F">
            <w:pPr>
              <w:rPr>
                <w:rFonts w:ascii="Trebuchet MS" w:hAnsi="Trebuchet MS"/>
                <w:sz w:val="21"/>
                <w:szCs w:val="21"/>
                <w:lang w:eastAsia="zh-CN"/>
              </w:rPr>
            </w:pPr>
            <w:r w:rsidRPr="00963FC3">
              <w:rPr>
                <w:rFonts w:ascii="Trebuchet MS" w:hAnsi="Trebuchet MS"/>
                <w:sz w:val="21"/>
                <w:szCs w:val="21"/>
                <w:lang w:eastAsia="zh-CN"/>
              </w:rPr>
              <w:t>_________________________________________________________________________________</w:t>
            </w:r>
          </w:p>
          <w:p w:rsidR="00D97FDE" w:rsidRPr="00963FC3" w:rsidRDefault="00D97FDE">
            <w:pPr>
              <w:rPr>
                <w:rFonts w:ascii="Trebuchet MS" w:hAnsi="Trebuchet MS"/>
                <w:sz w:val="21"/>
                <w:szCs w:val="21"/>
              </w:rPr>
            </w:pP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The child protocol was used in a study of 1,109 healthy children ages 4 to 16 years to establish age-related references for respiratory rate.</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 xml:space="preserve">Wallis, L. A., Healy, M., Undy, M. B., &amp; Maconochie, I. (2005). Age related reference ranges for respiration rate and heart rate from 4 to 16 years. </w:t>
            </w:r>
            <w:r w:rsidRPr="00963FC3">
              <w:rPr>
                <w:rStyle w:val="Emphasis"/>
                <w:rFonts w:ascii="Trebuchet MS" w:hAnsi="Trebuchet MS"/>
                <w:sz w:val="21"/>
                <w:szCs w:val="21"/>
              </w:rPr>
              <w:t>Archives of Disease in Childhood, 90,</w:t>
            </w:r>
            <w:r w:rsidRPr="00963FC3">
              <w:rPr>
                <w:rFonts w:ascii="Trebuchet MS" w:hAnsi="Trebuchet MS"/>
                <w:sz w:val="21"/>
                <w:szCs w:val="21"/>
              </w:rPr>
              <w:t xml:space="preserve"> 1117-1121.</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English</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Children ages 4 to 16 years</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Staff trained to count respiratory rates with a watch, and auscultate breath sounds</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Watch that can measure time in seconds and a stethoscope</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lastRenderedPageBreak/>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85"/>
              <w:gridCol w:w="2208"/>
              <w:gridCol w:w="861"/>
              <w:gridCol w:w="1125"/>
            </w:tblGrid>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Source</w:t>
                  </w:r>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Person Respiratory Rate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2970219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hyperlink r:id="rId5" w:history="1">
                    <w:r w:rsidRPr="00963FC3">
                      <w:rPr>
                        <w:rStyle w:val="Hyperlink"/>
                        <w:rFonts w:ascii="Trebuchet MS" w:hAnsi="Trebuchet MS"/>
                        <w:sz w:val="21"/>
                        <w:szCs w:val="21"/>
                      </w:rPr>
                      <w:t>CDE Browser</w:t>
                    </w:r>
                  </w:hyperlink>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Resp rate child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62633-3</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hyperlink r:id="rId6" w:history="1">
                    <w:r w:rsidRPr="00963FC3">
                      <w:rPr>
                        <w:rStyle w:val="Hyperlink"/>
                        <w:rFonts w:ascii="Trebuchet MS" w:hAnsi="Trebuchet MS"/>
                        <w:sz w:val="21"/>
                        <w:szCs w:val="21"/>
                      </w:rPr>
                      <w:t>LOINC</w:t>
                    </w:r>
                  </w:hyperlink>
                </w:p>
              </w:tc>
            </w:tr>
          </w:tbl>
          <w:p w:rsidR="00D97FDE" w:rsidRPr="00963FC3" w:rsidRDefault="00D97FDE">
            <w:pPr>
              <w:rPr>
                <w:rFonts w:ascii="Trebuchet MS" w:hAnsi="Trebuchet MS"/>
                <w:sz w:val="21"/>
                <w:szCs w:val="21"/>
              </w:rPr>
            </w:pP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Evans-Smith P. (2005). Taylor’s Clinical Nursing Skills: A Nursing Process Approach. Philadelphia, PA: Lippincott Williams &amp; Wilkins.</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 xml:space="preserve">Fleming, S., Thompson, M., Stevens, R., Heneghan, C., Pluddemann, A., Maconochie, I., Tarassenko, L., &amp; Mant, D. (2011). Normal ranges of heart rate and respiratory rate in children from birth to 18 years of age: A systematic review of observational studies. </w:t>
            </w:r>
            <w:r w:rsidRPr="00963FC3">
              <w:rPr>
                <w:rFonts w:ascii="Trebuchet MS" w:hAnsi="Trebuchet MS"/>
                <w:i/>
                <w:iCs/>
                <w:sz w:val="21"/>
                <w:szCs w:val="21"/>
              </w:rPr>
              <w:t xml:space="preserve">Lancet, 377, </w:t>
            </w:r>
            <w:r w:rsidRPr="00963FC3">
              <w:rPr>
                <w:rFonts w:ascii="Trebuchet MS" w:hAnsi="Trebuchet MS"/>
                <w:sz w:val="21"/>
                <w:szCs w:val="21"/>
              </w:rPr>
              <w:t>1011-1018.</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Taylor, C. Lillis, C, LeMone, P. &amp; Le Bon, M (2005). Skill Checklists to Accompany Fundamentals of Nursing: The Art and Science of Nursing Care (5</w:t>
            </w:r>
            <w:r w:rsidRPr="00963FC3">
              <w:rPr>
                <w:rFonts w:ascii="Trebuchet MS" w:hAnsi="Trebuchet MS"/>
                <w:sz w:val="21"/>
                <w:szCs w:val="21"/>
                <w:vertAlign w:val="superscript"/>
              </w:rPr>
              <w:t>th</w:t>
            </w:r>
            <w:r w:rsidRPr="00963FC3">
              <w:rPr>
                <w:rFonts w:ascii="Trebuchet MS" w:hAnsi="Trebuchet MS"/>
                <w:sz w:val="21"/>
                <w:szCs w:val="21"/>
              </w:rPr>
              <w:t xml:space="preserve"> Ed). Philadelphia, PA: Lippincott Williams &amp; Wilkins.</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Physical Measurement</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None</w:t>
            </w: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83"/>
              <w:gridCol w:w="996"/>
            </w:tblGrid>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Required</w:t>
                  </w:r>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Major equipment</w:t>
                  </w:r>
                </w:p>
                <w:p w:rsidR="00D97FDE" w:rsidRPr="00963FC3" w:rsidRDefault="00D97FDE">
                  <w:pPr>
                    <w:pStyle w:val="NormalWeb"/>
                    <w:rPr>
                      <w:rFonts w:ascii="Trebuchet MS" w:hAnsi="Trebuchet MS"/>
                      <w:color w:val="A6A6A6" w:themeColor="background1" w:themeShade="A6"/>
                      <w:sz w:val="21"/>
                      <w:szCs w:val="21"/>
                    </w:rPr>
                  </w:pPr>
                  <w:r w:rsidRPr="00963FC3">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No</w:t>
                  </w:r>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Default="00D97FDE">
                  <w:pPr>
                    <w:pStyle w:val="NormalWeb"/>
                    <w:rPr>
                      <w:rFonts w:ascii="Trebuchet MS" w:hAnsi="Trebuchet MS"/>
                      <w:sz w:val="21"/>
                      <w:szCs w:val="21"/>
                    </w:rPr>
                  </w:pPr>
                  <w:r w:rsidRPr="00963FC3">
                    <w:rPr>
                      <w:rFonts w:ascii="Trebuchet MS" w:hAnsi="Trebuchet MS"/>
                      <w:sz w:val="21"/>
                      <w:szCs w:val="21"/>
                    </w:rPr>
                    <w:t>Specialized training</w:t>
                  </w:r>
                </w:p>
                <w:p w:rsidR="00963FC3" w:rsidRPr="00963FC3" w:rsidRDefault="00963FC3">
                  <w:pPr>
                    <w:pStyle w:val="NormalWeb"/>
                    <w:rPr>
                      <w:rFonts w:ascii="Trebuchet MS" w:hAnsi="Trebuchet MS"/>
                      <w:sz w:val="21"/>
                      <w:szCs w:val="21"/>
                    </w:rPr>
                  </w:pPr>
                  <w:bookmarkStart w:id="0" w:name="_GoBack"/>
                  <w:r>
                    <w:rPr>
                      <w:rFonts w:ascii="Trebuchet MS" w:hAnsi="Trebuchet MS"/>
                      <w:color w:val="888888"/>
                      <w:sz w:val="21"/>
                      <w:szCs w:val="21"/>
                    </w:rPr>
                    <w:t>This measure requires staff training in the protocol methodology and/or in the conduct of the data analysis.</w:t>
                  </w:r>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No</w:t>
                  </w:r>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Specialized requirements for biospecimen collection</w:t>
                  </w:r>
                </w:p>
                <w:p w:rsidR="00D97FDE" w:rsidRPr="00963FC3" w:rsidRDefault="00D97FDE">
                  <w:pPr>
                    <w:pStyle w:val="NormalWeb"/>
                    <w:rPr>
                      <w:rFonts w:ascii="Trebuchet MS" w:hAnsi="Trebuchet MS"/>
                      <w:color w:val="A6A6A6" w:themeColor="background1" w:themeShade="A6"/>
                      <w:sz w:val="21"/>
                      <w:szCs w:val="21"/>
                    </w:rPr>
                  </w:pPr>
                  <w:r w:rsidRPr="00963FC3">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No</w:t>
                  </w:r>
                </w:p>
              </w:tc>
            </w:tr>
            <w:tr w:rsidR="00D97FDE" w:rsidRPr="00963F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r w:rsidRPr="00963FC3">
                    <w:rPr>
                      <w:rFonts w:ascii="Trebuchet MS" w:hAnsi="Trebuchet MS"/>
                      <w:sz w:val="21"/>
                      <w:szCs w:val="21"/>
                    </w:rPr>
                    <w:t>Average time of greater than 15 minutes in an unaffected individual</w:t>
                  </w:r>
                </w:p>
                <w:p w:rsidR="00D97FDE" w:rsidRPr="00963FC3" w:rsidRDefault="00D97FDE">
                  <w:pPr>
                    <w:pStyle w:val="NormalWeb"/>
                    <w:rPr>
                      <w:rFonts w:ascii="Trebuchet MS" w:hAnsi="Trebuchet MS"/>
                      <w:color w:val="A6A6A6" w:themeColor="background1" w:themeShade="A6"/>
                      <w:sz w:val="21"/>
                      <w:szCs w:val="21"/>
                    </w:rPr>
                  </w:pPr>
                  <w:r w:rsidRPr="00963FC3">
                    <w:rPr>
                      <w:rFonts w:ascii="Trebuchet MS" w:hAnsi="Trebuchet MS"/>
                      <w:color w:val="A6A6A6" w:themeColor="background1" w:themeShade="A6"/>
                      <w:sz w:val="21"/>
                      <w:szCs w:val="21"/>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Fonts w:ascii="Trebuchet MS" w:hAnsi="Trebuchet MS"/>
                      <w:sz w:val="21"/>
                      <w:szCs w:val="21"/>
                    </w:rPr>
                    <w:t>No</w:t>
                  </w:r>
                </w:p>
              </w:tc>
            </w:tr>
          </w:tbl>
          <w:p w:rsidR="00D97FDE" w:rsidRPr="00963FC3" w:rsidRDefault="00D97FDE">
            <w:pPr>
              <w:rPr>
                <w:rFonts w:ascii="Trebuchet MS" w:hAnsi="Trebuchet MS"/>
                <w:sz w:val="21"/>
                <w:szCs w:val="21"/>
              </w:rPr>
            </w:pPr>
          </w:p>
        </w:tc>
      </w:tr>
      <w:tr w:rsidR="00D97FDE" w:rsidRPr="00963FC3">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rPr>
                <w:rFonts w:ascii="Trebuchet MS" w:hAnsi="Trebuchet MS"/>
                <w:sz w:val="21"/>
                <w:szCs w:val="21"/>
              </w:rPr>
            </w:pPr>
            <w:r w:rsidRPr="00963FC3">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D97FDE" w:rsidRPr="00963FC3" w:rsidRDefault="00D97FDE">
            <w:pPr>
              <w:pStyle w:val="NormalWeb"/>
              <w:rPr>
                <w:rFonts w:ascii="Trebuchet MS" w:hAnsi="Trebuchet MS"/>
                <w:sz w:val="21"/>
                <w:szCs w:val="21"/>
              </w:rPr>
            </w:pPr>
            <w:hyperlink r:id="rId7" w:history="1">
              <w:r w:rsidRPr="00963FC3">
                <w:rPr>
                  <w:rStyle w:val="Hyperlink"/>
                  <w:rFonts w:ascii="Trebuchet MS" w:hAnsi="Trebuchet MS"/>
                  <w:sz w:val="21"/>
                  <w:szCs w:val="21"/>
                </w:rPr>
                <w:t>Expert Review Panel #6</w:t>
              </w:r>
            </w:hyperlink>
            <w:r w:rsidRPr="00963FC3">
              <w:rPr>
                <w:rFonts w:ascii="Trebuchet MS" w:hAnsi="Trebuchet MS"/>
                <w:sz w:val="21"/>
                <w:szCs w:val="21"/>
              </w:rPr>
              <w:t xml:space="preserve"> (ERP 6) reviewed the measures in the Respiratory domain. </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Guidance from ERP 6 includes the following:</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 Re-ordered list of activities in protocol.</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 xml:space="preserve">Back-compatible: no changes to Data Dictionary </w:t>
            </w:r>
          </w:p>
          <w:p w:rsidR="00D97FDE" w:rsidRPr="00963FC3" w:rsidRDefault="00D97FDE">
            <w:pPr>
              <w:pStyle w:val="NormalWeb"/>
              <w:rPr>
                <w:rFonts w:ascii="Trebuchet MS" w:hAnsi="Trebuchet MS"/>
                <w:sz w:val="21"/>
                <w:szCs w:val="21"/>
              </w:rPr>
            </w:pPr>
            <w:r w:rsidRPr="00963FC3">
              <w:rPr>
                <w:rFonts w:ascii="Trebuchet MS" w:hAnsi="Trebuchet MS"/>
                <w:sz w:val="21"/>
                <w:szCs w:val="21"/>
              </w:rPr>
              <w:t>Previous version in Toolkit archive (</w:t>
            </w:r>
            <w:hyperlink r:id="rId8" w:history="1">
              <w:r w:rsidR="00963FC3" w:rsidRPr="00963FC3">
                <w:rPr>
                  <w:rStyle w:val="Hyperlink"/>
                  <w:rFonts w:ascii="Trebuchet MS" w:hAnsi="Trebuchet MS"/>
                  <w:sz w:val="21"/>
                  <w:szCs w:val="21"/>
                </w:rPr>
                <w:t>link</w:t>
              </w:r>
            </w:hyperlink>
            <w:r w:rsidR="00963FC3">
              <w:rPr>
                <w:rFonts w:ascii="Trebuchet MS" w:hAnsi="Trebuchet MS"/>
                <w:sz w:val="21"/>
                <w:szCs w:val="21"/>
              </w:rPr>
              <w:t>)</w:t>
            </w:r>
          </w:p>
        </w:tc>
      </w:tr>
    </w:tbl>
    <w:p w:rsidR="00D97FDE" w:rsidRPr="00963FC3" w:rsidRDefault="00D97FDE">
      <w:pPr>
        <w:rPr>
          <w:rFonts w:ascii="Trebuchet MS" w:hAnsi="Trebuchet MS"/>
        </w:rPr>
      </w:pPr>
    </w:p>
    <w:sectPr w:rsidR="00D97FDE" w:rsidRPr="0096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1E3"/>
    <w:rsid w:val="002D721F"/>
    <w:rsid w:val="005531E3"/>
    <w:rsid w:val="00963FC3"/>
    <w:rsid w:val="00D9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enxtoolkit.org/index.php?pageLink=browse.archive.protocols&amp;id=90000" TargetMode="External"/><Relationship Id="rId3" Type="http://schemas.openxmlformats.org/officeDocument/2006/relationships/settings" Target="settings.xml"/><Relationship Id="rId7" Type="http://schemas.openxmlformats.org/officeDocument/2006/relationships/hyperlink" Target="http://phenx.org/node/1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ails.loinc.org/LOINC/62633-3.html?sections=Web" TargetMode="External"/><Relationship Id="rId5" Type="http://schemas.openxmlformats.org/officeDocument/2006/relationships/hyperlink" Target="https://cdebrowser.nci.nih.gov/CDEBrowser/search?elementDetails=9&amp;FirstTimer=0&amp;PageId=ElementDetailsGroup&amp;publicId=2970219&amp;version=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4682</CharactersWithSpaces>
  <SharedDoc>false</SharedDoc>
  <HLinks>
    <vt:vector size="18" baseType="variant">
      <vt:variant>
        <vt:i4>5898367</vt:i4>
      </vt:variant>
      <vt:variant>
        <vt:i4>6</vt:i4>
      </vt:variant>
      <vt:variant>
        <vt:i4>0</vt:i4>
      </vt:variant>
      <vt:variant>
        <vt:i4>5</vt:i4>
      </vt:variant>
      <vt:variant>
        <vt:lpwstr>http://phenx.org/node/118</vt:lpwstr>
      </vt:variant>
      <vt:variant>
        <vt:lpwstr/>
      </vt:variant>
      <vt:variant>
        <vt:i4>7864424</vt:i4>
      </vt:variant>
      <vt:variant>
        <vt:i4>3</vt:i4>
      </vt:variant>
      <vt:variant>
        <vt:i4>0</vt:i4>
      </vt:variant>
      <vt:variant>
        <vt:i4>5</vt:i4>
      </vt:variant>
      <vt:variant>
        <vt:lpwstr>http://s.details.loinc.org/LOINC/62633-3.html?sections=Web</vt:lpwstr>
      </vt:variant>
      <vt:variant>
        <vt:lpwstr/>
      </vt:variant>
      <vt:variant>
        <vt:i4>6881397</vt:i4>
      </vt:variant>
      <vt:variant>
        <vt:i4>0</vt:i4>
      </vt:variant>
      <vt:variant>
        <vt:i4>0</vt:i4>
      </vt:variant>
      <vt:variant>
        <vt:i4>5</vt:i4>
      </vt:variant>
      <vt:variant>
        <vt:lpwstr>https://cdebrowser.nci.nih.gov/CDEBrowser/search?elementDetails=9&amp;FirstTimer=0&amp;PageId=ElementDetailsGroup&amp;publicId=2970219&amp;version=1.0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2017-12-06T18:12:00Z</dcterms:created>
  <dcterms:modified xsi:type="dcterms:W3CDTF">2017-12-06T18:12:00Z</dcterms:modified>
</cp:coreProperties>
</file>