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E01245" Type="http://schemas.openxmlformats.org/officeDocument/2006/relationships/officeDocument" Target="/word/document.xml" /><Relationship Id="coreR3CE0124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711101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 Host: Social/Cognitive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House Rules About Tobacco Use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These questions determine whether smoking burned or not burned tobacco products is permitted in the home.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This item measures rules about smoking in the home. Parents’ rules about smoking in the home reflect their actions to regulate smoking and to regulate their children’s exposure to smoking.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House Rules About Tobacco Use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house rules about tobacco use; Parental monitoring; smoking; house rules; smoking rules; smoking-specific parenting; Population Assessment of Tobacco and Health Study; PATH; smokeless tobacco; dissolvable tobacco; electronic cigarettes; e-cigarettes; e-cigs; cigarettes; Cigars; pipes; hookah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questions from the Wave 1 Adult Population Assessment of Tobacco and Health (PATH) Survey instrument. These specific questions ask about smoking burned and not burned tobacco products in the home.</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Although taken from the Wave 1 Adult Population Assessment of Tobacco and Health (PATH) Survey instrument, these two questions are also included in the Wave 1 Youth Survey instrument and therefore may be asked to both adult and adolescent populations, 12 years and up.</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 xml:space="preserve">These next few questions ask about rules of using tobacco </w:t>
            </w:r>
            <w:r>
              <w:rPr>
                <w:rFonts w:ascii="Arial" w:hAnsi="Arial"/>
                <w:sz w:val="21"/>
                <w:u w:val="single"/>
              </w:rPr>
              <w:t>inside</w:t>
            </w:r>
            <w:r>
              <w:rPr>
                <w:rFonts w:ascii="Arial" w:hAnsi="Arial"/>
                <w:sz w:val="21"/>
              </w:rPr>
              <w:t xml:space="preserve"> your home. Please think about everyone who might be in your home including children, adults, visitors, guests, or workers. </w:t>
            </w:r>
          </w:p>
          <w:p>
            <w:pPr>
              <w:spacing w:before="240" w:after="240"/>
              <w:ind w:left="0" w:right="0"/>
              <w:rPr>
                <w:rFonts w:ascii="Arial" w:hAnsi="Arial"/>
                <w:sz w:val="21"/>
              </w:rPr>
            </w:pPr>
            <w:r>
              <w:rPr>
                <w:rFonts w:ascii="Arial" w:hAnsi="Arial"/>
                <w:sz w:val="21"/>
              </w:rPr>
              <w:t xml:space="preserve">1. For tobacco products that are burned, such as cigarettes, cigars, pipes, or hookah, which statement best describes the rules about smoking a tobacco product </w:t>
            </w:r>
            <w:r>
              <w:rPr>
                <w:rFonts w:ascii="Arial" w:hAnsi="Arial"/>
                <w:sz w:val="21"/>
                <w:u w:val="single"/>
              </w:rPr>
              <w:t>inside</w:t>
            </w:r>
            <w:r>
              <w:rPr>
                <w:rFonts w:ascii="Arial" w:hAnsi="Arial"/>
                <w:sz w:val="21"/>
              </w:rPr>
              <w:t xml:space="preserve"> your home?</w:t>
            </w:r>
          </w:p>
          <w:p>
            <w:pPr>
              <w:spacing w:before="240" w:after="240"/>
              <w:ind w:left="0" w:right="0"/>
              <w:rPr>
                <w:rFonts w:ascii="Arial" w:hAnsi="Arial"/>
                <w:sz w:val="21"/>
              </w:rPr>
            </w:pPr>
            <w:r>
              <w:rPr>
                <w:rFonts w:ascii="Arial" w:hAnsi="Arial"/>
                <w:sz w:val="21"/>
              </w:rPr>
              <w:t>[ ] 1 It is not allowed anywhere or at any time inside my home</w:t>
            </w:r>
          </w:p>
          <w:p>
            <w:pPr>
              <w:spacing w:before="240" w:after="240"/>
              <w:ind w:left="0" w:right="0"/>
              <w:rPr>
                <w:rFonts w:ascii="Arial" w:hAnsi="Arial"/>
                <w:sz w:val="21"/>
              </w:rPr>
            </w:pPr>
            <w:r>
              <w:rPr>
                <w:rFonts w:ascii="Arial" w:hAnsi="Arial"/>
                <w:sz w:val="21"/>
              </w:rPr>
              <w:t>[ ] 2 It is allowed in some places or at some times inside my home</w:t>
            </w:r>
          </w:p>
          <w:p>
            <w:pPr>
              <w:spacing w:before="240" w:after="240"/>
              <w:ind w:left="0" w:right="0"/>
              <w:rPr>
                <w:rFonts w:ascii="Arial" w:hAnsi="Arial"/>
                <w:sz w:val="21"/>
              </w:rPr>
            </w:pPr>
            <w:r>
              <w:rPr>
                <w:rFonts w:ascii="Arial" w:hAnsi="Arial"/>
                <w:sz w:val="21"/>
              </w:rPr>
              <w:t>[ ] 3 It is allowed anywhere and at any time inside my home</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All respondents</w:t>
            </w:r>
          </w:p>
          <w:p>
            <w:pPr>
              <w:spacing w:before="240" w:after="240"/>
              <w:ind w:left="0" w:right="0"/>
              <w:rPr>
                <w:rFonts w:ascii="Arial" w:hAnsi="Arial"/>
                <w:sz w:val="21"/>
              </w:rPr>
            </w:pPr>
            <w:r>
              <w:rPr>
                <w:rFonts w:ascii="Arial" w:hAnsi="Arial"/>
                <w:sz w:val="21"/>
              </w:rPr>
              <w:t xml:space="preserve">2. Now think about other tobacco products that are </w:t>
            </w:r>
            <w:r>
              <w:rPr>
                <w:rFonts w:ascii="Arial" w:hAnsi="Arial"/>
                <w:sz w:val="21"/>
                <w:u w:val="single"/>
              </w:rPr>
              <w:t>not</w:t>
            </w:r>
            <w:r>
              <w:rPr>
                <w:rFonts w:ascii="Arial" w:hAnsi="Arial"/>
                <w:sz w:val="21"/>
              </w:rPr>
              <w:t xml:space="preserve"> burned, like smokeless tobacco, dissolvable tobacco, and electronic cigarettes. Which statement best describes the rules about using these products </w:t>
            </w:r>
            <w:r>
              <w:rPr>
                <w:rFonts w:ascii="Arial" w:hAnsi="Arial"/>
                <w:sz w:val="21"/>
                <w:u w:val="single"/>
              </w:rPr>
              <w:t>inside</w:t>
            </w:r>
            <w:r>
              <w:rPr>
                <w:rFonts w:ascii="Arial" w:hAnsi="Arial"/>
                <w:sz w:val="21"/>
              </w:rPr>
              <w:t xml:space="preserve"> your home?</w:t>
            </w:r>
          </w:p>
          <w:p>
            <w:pPr>
              <w:spacing w:before="240" w:after="240"/>
              <w:ind w:left="0" w:right="0"/>
              <w:rPr>
                <w:rFonts w:ascii="Arial" w:hAnsi="Arial"/>
                <w:sz w:val="21"/>
              </w:rPr>
            </w:pPr>
            <w:r>
              <w:rPr>
                <w:rFonts w:ascii="Arial" w:hAnsi="Arial"/>
                <w:sz w:val="21"/>
              </w:rPr>
              <w:t>[ ] 1 It is not allowed anywhere or at any time inside my home</w:t>
            </w:r>
          </w:p>
          <w:p>
            <w:pPr>
              <w:spacing w:before="240" w:after="240"/>
              <w:ind w:left="0" w:right="0"/>
              <w:rPr>
                <w:rFonts w:ascii="Arial" w:hAnsi="Arial"/>
                <w:sz w:val="21"/>
              </w:rPr>
            </w:pPr>
            <w:r>
              <w:rPr>
                <w:rFonts w:ascii="Arial" w:hAnsi="Arial"/>
                <w:sz w:val="21"/>
              </w:rPr>
              <w:t>[ ] 2 It is allowed in some places or at some times inside my home</w:t>
            </w:r>
          </w:p>
          <w:p>
            <w:pPr>
              <w:spacing w:before="240" w:after="240"/>
              <w:ind w:left="0" w:right="0"/>
              <w:rPr>
                <w:rFonts w:ascii="Arial" w:hAnsi="Arial"/>
                <w:sz w:val="21"/>
              </w:rPr>
            </w:pPr>
            <w:r>
              <w:rPr>
                <w:rFonts w:ascii="Arial" w:hAnsi="Arial"/>
                <w:sz w:val="21"/>
              </w:rPr>
              <w:t>[ ] 3 It is allowed anywhere and at any time inside my home</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All respondents</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Population Assessment of Tobacco and Health (PATH) Study is a nationally representative, in-person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The PATH Study was implemented to provide an evidence base for assessing and monitoring the Food and Drug Administration’s regulatory actions in meeting its mandate under the Family Smoking Prevention and Tobacco Control Act. Regulatory domains include product standards, new and modified risk products, health warnings, and health education campaigns.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(NIH) and the U.S. Food and Drug Administration (FDA). (2012). Population Assessment of Tobacco and Health (PATH) Study, PATH Wave 1 Adult Extended Interview 7.5. Items AR1045, AR1050.</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Spanish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Adolescents and adults, 12+</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Starr, G., Rogers, T., Schooley, M., Porter, S., Wiesen, E., &amp; Jamison, N. (2005). Goal area 2: Eliminating nonsmokers’ exposure to secondhand smoke. In</w:t>
            </w:r>
            <w:r>
              <w:rPr>
                <w:rFonts w:ascii="Arial" w:hAnsi="Arial"/>
                <w:i w:val="1"/>
                <w:sz w:val="21"/>
              </w:rPr>
              <w:t xml:space="preserve"> Key outcomes for evaluating comprehensive tobacco control programs </w:t>
            </w:r>
            <w:r>
              <w:rPr>
                <w:rFonts w:ascii="Arial" w:hAnsi="Arial"/>
                <w:sz w:val="21"/>
              </w:rPr>
              <w:t>(pp. 121-190). Atlanta, GA: Centers for Disease Control and Prevention. [link[www.cdc.gov/TOBACCO/tobacco_control_programs/surveillance_evaluation/key_outcome/index.htm|www.cdc.gov/TOBACCO/tobacco_control_programs/surveillance_evaluation/key_outcome/index.htm]].</w:t>
            </w:r>
          </w:p>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2023-12-21T20:17:23Z</dcterms:created>
  <cp:lastModifiedBy>Williams, David</cp:lastModifiedBy>
  <dcterms:modified xsi:type="dcterms:W3CDTF">2023-12-21T20:17:23Z</dcterms:modified>
  <cp:revision>1</cp:revision>
</cp:coreProperties>
</file>