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numbering.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left="-720" w:right="-432" w:hanging="0"/>
        <w:rPr>
          <w:b/>
          <w:b/>
        </w:rPr>
      </w:pPr>
      <w:r>
        <w:rPr>
          <w:b/>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466" w:hRule="atLeast"/>
        </w:trPr>
        <w:tc>
          <w:tcPr>
            <w:tcW w:w="106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20" w:hanging="0"/>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sz w:val="22"/>
                <w:szCs w:val="22"/>
              </w:rPr>
              <w:t xml:space="preserve">About the Measure </w:t>
            </w:r>
          </w:p>
          <w:p>
            <w:pPr>
              <w:pStyle w:val="Normal"/>
              <w:rPr>
                <w:rFonts w:ascii="Arial" w:hAnsi="Arial" w:cs="Arial"/>
                <w:b/>
                <w:b/>
              </w:rPr>
            </w:pPr>
            <w:r>
              <w:rPr>
                <w:rFonts w:cs="Arial" w:ascii="Arial" w:hAnsi="Arial"/>
                <w:b/>
              </w:rPr>
            </w:r>
          </w:p>
        </w:tc>
      </w:tr>
      <w:tr>
        <w:trPr>
          <w:trHeight w:val="555"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14"/>
                <w:szCs w:val="14"/>
              </w:rPr>
            </w:pPr>
            <w:r>
              <w:rPr>
                <w:rFonts w:cs="Arial" w:ascii="Arial" w:hAnsi="Arial"/>
                <w:b/>
                <w:sz w:val="22"/>
                <w:szCs w:val="22"/>
              </w:rPr>
              <w:t>Domain</w:t>
              <w:br/>
            </w:r>
            <w:r>
              <w:rPr>
                <w:rFonts w:cs="Arial" w:ascii="Arial" w:hAnsi="Arial"/>
                <w:b/>
                <w:sz w:val="16"/>
                <w:szCs w:val="16"/>
              </w:rPr>
              <w:br/>
            </w:r>
            <w:r>
              <w:rPr>
                <w:rFonts w:cs="Arial" w:ascii="Arial" w:hAnsi="Arial"/>
                <w:bCs/>
                <w:sz w:val="14"/>
                <w:szCs w:val="14"/>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Nutrition and Dietary Supplements</w:t>
            </w:r>
          </w:p>
        </w:tc>
      </w:tr>
      <w:tr>
        <w:trPr>
          <w:trHeight w:val="42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rPr>
            </w:pPr>
            <w:r>
              <w:rPr>
                <w:rFonts w:cs="Arial" w:ascii="Arial" w:hAnsi="Arial"/>
                <w:b/>
                <w:sz w:val="22"/>
                <w:szCs w:val="22"/>
              </w:rPr>
              <w:t>Measure</w:t>
            </w:r>
            <w:r>
              <w:rPr>
                <w:rFonts w:cs="Arial" w:ascii="Arial" w:hAnsi="Arial"/>
                <w:b/>
                <w:sz w:val="16"/>
                <w:szCs w:val="16"/>
              </w:rPr>
              <w:br/>
              <w:br/>
            </w:r>
            <w:r>
              <w:rPr>
                <w:rFonts w:cs="Arial" w:ascii="Arial" w:hAnsi="Arial"/>
                <w:bCs/>
                <w:sz w:val="14"/>
                <w:szCs w:val="14"/>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Heading1"/>
              <w:spacing w:before="240" w:after="60"/>
              <w:rPr>
                <w:b w:val="false"/>
                <w:b w:val="false"/>
                <w:color w:val="000000"/>
                <w:sz w:val="22"/>
                <w:szCs w:val="22"/>
              </w:rPr>
            </w:pPr>
            <w:r>
              <w:rPr>
                <w:b w:val="false"/>
                <w:sz w:val="22"/>
                <w:szCs w:val="22"/>
              </w:rPr>
              <w:t>Total Dietary Intake</w:t>
            </w:r>
          </w:p>
          <w:p>
            <w:pPr>
              <w:pStyle w:val="Normal"/>
              <w:rPr>
                <w:rFonts w:ascii="Arial" w:hAnsi="Arial" w:cs="Arial"/>
                <w:b/>
                <w:b/>
                <w:color w:val="000000"/>
                <w:sz w:val="22"/>
                <w:szCs w:val="22"/>
              </w:rPr>
            </w:pPr>
            <w:r>
              <w:rPr>
                <w:rFonts w:cs="Arial" w:ascii="Arial" w:hAnsi="Arial"/>
                <w:b/>
                <w:color w:val="000000"/>
                <w:sz w:val="22"/>
                <w:szCs w:val="22"/>
              </w:rPr>
            </w:r>
          </w:p>
        </w:tc>
      </w:tr>
      <w:tr>
        <w:trPr>
          <w:trHeight w:val="33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rPr>
            </w:pPr>
            <w:r>
              <w:rPr>
                <w:rFonts w:cs="Arial" w:ascii="Arial" w:hAnsi="Arial"/>
                <w:b/>
                <w:sz w:val="22"/>
                <w:szCs w:val="22"/>
              </w:rPr>
              <w:t>Definition</w:t>
            </w:r>
            <w:r>
              <w:rPr>
                <w:rFonts w:cs="Arial" w:ascii="Arial" w:hAnsi="Arial"/>
                <w:b/>
                <w:sz w:val="16"/>
                <w:szCs w:val="16"/>
              </w:rPr>
              <w:br/>
              <w:br/>
            </w:r>
            <w:r>
              <w:rPr>
                <w:rFonts w:cs="Arial" w:ascii="Arial" w:hAnsi="Arial"/>
                <w:bCs/>
                <w:sz w:val="14"/>
                <w:szCs w:val="14"/>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ascii="Arial" w:hAnsi="Arial" w:cs="Arial"/>
              </w:rPr>
            </w:pPr>
            <w:r>
              <w:rPr>
                <w:rFonts w:cs="Arial" w:ascii="Arial" w:hAnsi="Arial"/>
                <w:sz w:val="22"/>
              </w:rPr>
              <w:t xml:space="preserve">A measure to assess the foods and beverages consumed throughout the previous day or the prior 24-hours.  </w:t>
            </w:r>
          </w:p>
        </w:tc>
      </w:tr>
      <w:tr>
        <w:trPr>
          <w:trHeight w:val="28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Purpose</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bCs/>
                <w:sz w:val="22"/>
                <w:szCs w:val="22"/>
              </w:rPr>
              <w:t>The 24-hour recall</w:t>
            </w:r>
            <w:r>
              <w:rPr>
                <w:rFonts w:cs="Arial" w:ascii="Arial" w:hAnsi="Arial"/>
                <w:sz w:val="22"/>
                <w:szCs w:val="22"/>
              </w:rPr>
              <w:t xml:space="preserve"> has long been regarded as the optimal methodology because it provides the highest-quality and least biased dietary data for a single day. This method allows collection of detailed intake and portion sizes. Because the data collection occurs after consumption, this method does not affect an individual's food choices on a given day.</w:t>
            </w:r>
          </w:p>
        </w:tc>
      </w:tr>
    </w:tbl>
    <w:p>
      <w:pPr>
        <w:pStyle w:val="Normal"/>
        <w:ind w:left="120" w:hanging="0"/>
        <w:rPr>
          <w:rFonts w:ascii="Arial" w:hAnsi="Arial" w:cs="Arial"/>
          <w:b/>
          <w:b/>
          <w:sz w:val="22"/>
          <w:szCs w:val="22"/>
        </w:rPr>
      </w:pPr>
      <w:r>
        <w:rPr>
          <w:rFonts w:cs="Arial" w:ascii="Arial" w:hAnsi="Arial"/>
          <w:b/>
          <w:sz w:val="22"/>
          <w:szCs w:val="22"/>
        </w:rPr>
      </w:r>
    </w:p>
    <w:tbl>
      <w:tblPr>
        <w:tblW w:w="11676" w:type="dxa"/>
        <w:jc w:val="center"/>
        <w:tblInd w:w="0" w:type="dxa"/>
        <w:tblLayout w:type="fixed"/>
        <w:tblCellMar>
          <w:top w:w="0" w:type="dxa"/>
          <w:left w:w="108" w:type="dxa"/>
          <w:bottom w:w="0" w:type="dxa"/>
          <w:right w:w="108" w:type="dxa"/>
        </w:tblCellMar>
      </w:tblPr>
      <w:tblGrid>
        <w:gridCol w:w="1568"/>
        <w:gridCol w:w="10108"/>
      </w:tblGrid>
      <w:tr>
        <w:trPr>
          <w:trHeight w:val="420" w:hRule="atLeast"/>
        </w:trPr>
        <w:tc>
          <w:tcPr>
            <w:tcW w:w="11676" w:type="dxa"/>
            <w:gridSpan w:val="2"/>
            <w:tcBorders>
              <w:top w:val="single" w:sz="4" w:space="0" w:color="000000"/>
              <w:left w:val="single" w:sz="4" w:space="0" w:color="000000"/>
              <w:bottom w:val="single" w:sz="4" w:space="0" w:color="000000"/>
              <w:right w:val="single" w:sz="4" w:space="0" w:color="000000"/>
            </w:tcBorders>
          </w:tcPr>
          <w:p>
            <w:pPr>
              <w:pStyle w:val="Normal"/>
              <w:ind w:left="120" w:hanging="0"/>
              <w:jc w:val="center"/>
              <w:rPr>
                <w:rFonts w:ascii="Arial" w:hAnsi="Arial" w:cs="Arial"/>
                <w:b/>
                <w:b/>
              </w:rPr>
            </w:pPr>
            <w:r>
              <w:rPr>
                <w:rFonts w:cs="Arial" w:ascii="Arial" w:hAnsi="Arial"/>
                <w:b/>
                <w:sz w:val="22"/>
                <w:szCs w:val="22"/>
              </w:rPr>
              <w:t xml:space="preserve">About the Protocol </w:t>
            </w:r>
          </w:p>
          <w:p>
            <w:pPr>
              <w:pStyle w:val="Normal"/>
              <w:ind w:left="120" w:hanging="0"/>
              <w:jc w:val="center"/>
              <w:rPr>
                <w:rFonts w:ascii="Arial" w:hAnsi="Arial" w:cs="Arial"/>
                <w:b/>
                <w:b/>
              </w:rPr>
            </w:pPr>
            <w:r>
              <w:rPr>
                <w:rFonts w:cs="Arial" w:ascii="Arial" w:hAnsi="Arial"/>
                <w:b/>
              </w:rPr>
            </w:r>
          </w:p>
        </w:tc>
      </w:tr>
      <w:tr>
        <w:trPr>
          <w:trHeight w:val="525" w:hRule="atLeast"/>
        </w:trPr>
        <w:tc>
          <w:tcPr>
            <w:tcW w:w="1568"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rPr>
            </w:pPr>
            <w:r>
              <w:rPr>
                <w:rFonts w:cs="Arial" w:ascii="Arial" w:hAnsi="Arial"/>
                <w:b/>
                <w:sz w:val="22"/>
                <w:szCs w:val="22"/>
              </w:rPr>
              <w:t>Description of Protocol</w:t>
            </w:r>
            <w:r>
              <w:rPr>
                <w:rFonts w:cs="Arial" w:ascii="Arial" w:hAnsi="Arial"/>
                <w:b/>
                <w:sz w:val="16"/>
                <w:szCs w:val="16"/>
              </w:rPr>
              <w:br/>
              <w:br/>
            </w:r>
            <w:r>
              <w:rPr>
                <w:rFonts w:cs="Arial" w:ascii="Arial" w:hAnsi="Arial"/>
                <w:bCs/>
                <w:sz w:val="14"/>
                <w:szCs w:val="14"/>
              </w:rPr>
              <w:t>(included in Survey &amp; Supplemental Information)</w:t>
            </w:r>
          </w:p>
          <w:p>
            <w:pPr>
              <w:pStyle w:val="Normal"/>
              <w:ind w:left="120" w:hanging="0"/>
              <w:rPr>
                <w:rFonts w:ascii="Arial" w:hAnsi="Arial" w:cs="Arial"/>
                <w:b/>
                <w:b/>
              </w:rPr>
            </w:pPr>
            <w:r>
              <w:rPr>
                <w:rFonts w:cs="Arial" w:ascii="Arial" w:hAnsi="Arial"/>
                <w:b/>
              </w:rPr>
            </w:r>
          </w:p>
        </w:tc>
        <w:tc>
          <w:tcPr>
            <w:tcW w:w="10108"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Arial" w:hAnsi="Arial" w:cs="Arial"/>
              </w:rPr>
            </w:pPr>
            <w:r>
              <w:rPr>
                <w:rFonts w:cs="Arial" w:ascii="Arial" w:hAnsi="Arial"/>
                <w:color w:val="000000"/>
                <w:sz w:val="22"/>
                <w:szCs w:val="22"/>
              </w:rPr>
              <w:t>The 24-hour recall process consists of an initial “quick list” where the respondent reports all the foods and beverages consumed during the day by eating occasion.  Respondents are then queried about whether they might have consumed foods between eating occasions.  This is followed by detailed probing questions about food preparation, additions to food and amount consumed.  Respondents are then queried about forgotten foods; these represent food in categories commonly omitted in 24-hour recall reporting.</w:t>
            </w:r>
            <w:r>
              <w:rPr>
                <w:rFonts w:cs="Arial" w:ascii="Arial" w:hAnsi="Arial"/>
                <w:sz w:val="22"/>
                <w:szCs w:val="22"/>
              </w:rPr>
              <w:t xml:space="preserve">  </w:t>
            </w:r>
            <w:r>
              <w:rPr>
                <w:rFonts w:cs="Arial" w:ascii="Arial" w:hAnsi="Arial"/>
                <w:color w:val="000000"/>
                <w:sz w:val="22"/>
                <w:szCs w:val="22"/>
              </w:rPr>
              <w:t xml:space="preserve">The 24-hour recall ends with a final review, where any other item not already reported can be added.  Throughout the program, respondents can add, delete, copy, modify or change foods reported on their recalls.  </w:t>
            </w:r>
            <w:r>
              <w:rPr>
                <w:rFonts w:cs="Arial" w:ascii="Arial" w:hAnsi="Arial"/>
                <w:sz w:val="22"/>
                <w:szCs w:val="22"/>
              </w:rPr>
              <w:t>The 24-hour recall usually takes 20–30 minutes.  Intake of dietary supplements for the past 24-hours can also be queried.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tc>
      </w:tr>
      <w:tr>
        <w:trPr>
          <w:trHeight w:val="525"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Selection Rationale</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A 24-hour recall has been found to be more reliable than food frequency questionnaires and more versatile across a variety of populations.</w:t>
            </w:r>
          </w:p>
        </w:tc>
      </w:tr>
      <w:tr>
        <w:trPr>
          <w:trHeight w:val="525"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Specific Instructions</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The Working Group recommends at least two 24-hour recalls be administered; more than a week apart, one on a week day and one on a weekend day.</w:t>
            </w:r>
          </w:p>
        </w:tc>
      </w:tr>
      <w:tr>
        <w:trPr>
          <w:trHeight w:val="1596" w:hRule="atLeast"/>
        </w:trPr>
        <w:tc>
          <w:tcPr>
            <w:tcW w:w="1568"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rPr>
            </w:pPr>
            <w:r>
              <w:rPr>
                <w:rFonts w:cs="Arial" w:ascii="Arial" w:hAnsi="Arial"/>
                <w:b/>
                <w:sz w:val="22"/>
                <w:szCs w:val="22"/>
              </w:rPr>
              <w:t>Protocol text</w:t>
            </w:r>
            <w:r>
              <w:rPr>
                <w:rFonts w:cs="Arial" w:ascii="Arial" w:hAnsi="Arial"/>
                <w:b/>
                <w:sz w:val="16"/>
                <w:szCs w:val="16"/>
              </w:rPr>
              <w:br/>
              <w:br/>
            </w:r>
            <w:r>
              <w:rPr>
                <w:rFonts w:cs="Arial" w:ascii="Arial" w:hAnsi="Arial"/>
                <w:bCs/>
                <w:sz w:val="14"/>
                <w:szCs w:val="14"/>
              </w:rPr>
              <w:t>(included in Survey &amp; Supplemental Information)</w:t>
            </w:r>
          </w:p>
          <w:p>
            <w:pPr>
              <w:pStyle w:val="Normal"/>
              <w:ind w:left="120" w:hanging="0"/>
              <w:rPr>
                <w:rFonts w:ascii="Arial" w:hAnsi="Arial" w:cs="Arial"/>
                <w:b/>
                <w:b/>
              </w:rPr>
            </w:pPr>
            <w:r>
              <w:rPr>
                <w:rFonts w:cs="Arial" w:ascii="Arial" w:hAnsi="Arial"/>
                <w:b/>
              </w:rPr>
            </w:r>
          </w:p>
        </w:tc>
        <w:tc>
          <w:tcPr>
            <w:tcW w:w="10108" w:type="dxa"/>
            <w:tcBorders>
              <w:top w:val="single" w:sz="4" w:space="0" w:color="000000"/>
              <w:left w:val="single" w:sz="4" w:space="0" w:color="000000"/>
              <w:bottom w:val="single" w:sz="4" w:space="0" w:color="000000"/>
              <w:right w:val="single" w:sz="4" w:space="0" w:color="000000"/>
            </w:tcBorders>
            <w:vAlign w:val="bottom"/>
          </w:tcPr>
          <w:p>
            <w:pPr>
              <w:pStyle w:val="Normal"/>
              <w:spacing w:before="60" w:after="60"/>
              <w:rPr>
                <w:rFonts w:ascii="Arial" w:hAnsi="Arial" w:cs="Arial"/>
                <w:b/>
                <w:b/>
                <w:bCs/>
              </w:rPr>
            </w:pPr>
            <w:r>
              <w:rPr>
                <w:rFonts w:cs="Arial" w:ascii="Arial" w:hAnsi="Arial"/>
                <w:sz w:val="22"/>
                <w:szCs w:val="22"/>
              </w:rPr>
              <w:t>The National Cancer Institute (NCI) has developed a Self-Administered Automated 24-hour Dietary Recall (ASA24) for use in large-scale nutrition research studies. The format and design of the ASA24 are modeled on the interviewer-administered Automated Multiple Pass Method 24-hour recall developed by the US Department of Agriculture (USDA). This recall requires multi-level food probes to accurately assess food types and amounts.</w:t>
            </w:r>
          </w:p>
          <w:p>
            <w:pPr>
              <w:pStyle w:val="Normal"/>
              <w:spacing w:before="60" w:after="60"/>
              <w:rPr>
                <w:rFonts w:ascii="Arial" w:hAnsi="Arial" w:cs="Arial"/>
              </w:rPr>
            </w:pPr>
            <w:r>
              <w:rPr>
                <w:rFonts w:cs="Arial" w:ascii="Arial" w:hAnsi="Arial"/>
                <w:sz w:val="22"/>
                <w:szCs w:val="22"/>
              </w:rPr>
              <w:t xml:space="preserve">The ASA24 software is programmed with a food database which includes all foods available from USDA's Food and Nutrient Database for Dietary Studies (FNDDS) database. In addition, the software includes pictures of foods in multiple portion sizes to help respondents estimate portion size. This branching database allows questions and possible responses to be displayed on the screen for respondent selection.   </w:t>
            </w:r>
          </w:p>
          <w:p>
            <w:pPr>
              <w:pStyle w:val="Normal"/>
              <w:spacing w:before="60" w:after="60"/>
              <w:rPr>
                <w:rFonts w:ascii="Arial" w:hAnsi="Arial" w:cs="Arial"/>
                <w:b/>
                <w:b/>
                <w:bCs/>
              </w:rPr>
            </w:pPr>
            <w:r>
              <w:rPr>
                <w:rFonts w:cs="Arial" w:ascii="Arial" w:hAnsi="Arial"/>
                <w:sz w:val="22"/>
                <w:szCs w:val="22"/>
              </w:rPr>
              <w:t>Data files include nutrients, foods, pyramid food groups, and Healthy Eating Index (HEI) variables. The software can quickly compute nutrient and food group estimates for each recall day. A Spanish version of the software will be available by 2010. The software also has the capacity to accommodate languages other than English</w:t>
            </w:r>
            <w:r>
              <w:rPr/>
              <w:t>.</w:t>
            </w:r>
          </w:p>
          <w:p>
            <w:pPr>
              <w:pStyle w:val="NormalWeb"/>
              <w:rPr>
                <w:rFonts w:ascii="Arial" w:hAnsi="Arial" w:cs="Arial"/>
              </w:rPr>
            </w:pPr>
            <w:r>
              <w:rPr>
                <w:rFonts w:cs="Arial" w:ascii="Arial" w:hAnsi="Arial"/>
                <w:sz w:val="22"/>
                <w:szCs w:val="22"/>
              </w:rPr>
              <w:t>The ASA-24 software:</w:t>
            </w:r>
          </w:p>
          <w:p>
            <w:pPr>
              <w:pStyle w:val="Normal"/>
              <w:numPr>
                <w:ilvl w:val="0"/>
                <w:numId w:val="5"/>
              </w:numPr>
              <w:spacing w:before="0" w:after="0"/>
              <w:rPr>
                <w:rFonts w:ascii="Arial" w:hAnsi="Arial" w:cs="Arial"/>
              </w:rPr>
            </w:pPr>
            <w:r>
              <w:rPr>
                <w:rFonts w:cs="Arial" w:ascii="Arial" w:hAnsi="Arial"/>
                <w:sz w:val="22"/>
                <w:szCs w:val="22"/>
              </w:rPr>
              <w:t xml:space="preserve">Provides tutorials for respondents on how to complete the interview; </w:t>
            </w:r>
          </w:p>
          <w:p>
            <w:pPr>
              <w:pStyle w:val="Normal"/>
              <w:numPr>
                <w:ilvl w:val="0"/>
                <w:numId w:val="5"/>
              </w:numPr>
              <w:spacing w:before="0" w:after="0"/>
              <w:rPr>
                <w:rFonts w:ascii="Arial" w:hAnsi="Arial" w:cs="Arial"/>
              </w:rPr>
            </w:pPr>
            <w:r>
              <w:rPr>
                <w:rFonts w:cs="Arial" w:ascii="Arial" w:hAnsi="Arial"/>
                <w:sz w:val="22"/>
                <w:szCs w:val="22"/>
              </w:rPr>
              <w:t xml:space="preserve">Provides an animated audio character to guide respondents through the interview, with an option to turn off the audio portion; </w:t>
            </w:r>
          </w:p>
          <w:p>
            <w:pPr>
              <w:pStyle w:val="Normal"/>
              <w:numPr>
                <w:ilvl w:val="0"/>
                <w:numId w:val="5"/>
              </w:numPr>
              <w:spacing w:before="0" w:after="0"/>
              <w:rPr>
                <w:rFonts w:ascii="Arial" w:hAnsi="Arial" w:cs="Arial"/>
              </w:rPr>
            </w:pPr>
            <w:r>
              <w:rPr>
                <w:rFonts w:cs="Arial" w:ascii="Arial" w:hAnsi="Arial"/>
                <w:sz w:val="22"/>
                <w:szCs w:val="22"/>
              </w:rPr>
              <w:t xml:space="preserve">Asks respondents to report eating occasion with time of consumption; </w:t>
            </w:r>
          </w:p>
          <w:p>
            <w:pPr>
              <w:pStyle w:val="Normal"/>
              <w:numPr>
                <w:ilvl w:val="0"/>
                <w:numId w:val="5"/>
              </w:numPr>
              <w:spacing w:before="0" w:after="0"/>
              <w:rPr>
                <w:rFonts w:ascii="Arial" w:hAnsi="Arial" w:cs="Arial"/>
              </w:rPr>
            </w:pPr>
            <w:r>
              <w:rPr>
                <w:rFonts w:cs="Arial" w:ascii="Arial" w:hAnsi="Arial"/>
                <w:sz w:val="22"/>
                <w:szCs w:val="22"/>
              </w:rPr>
              <w:t xml:space="preserve">Asks respondents to provide a "quick list" of foods consumed the previous day; </w:t>
            </w:r>
          </w:p>
          <w:p>
            <w:pPr>
              <w:pStyle w:val="Normal"/>
              <w:numPr>
                <w:ilvl w:val="0"/>
                <w:numId w:val="5"/>
              </w:numPr>
              <w:spacing w:before="0" w:after="0"/>
              <w:rPr>
                <w:rFonts w:ascii="Arial" w:hAnsi="Arial" w:cs="Arial"/>
              </w:rPr>
            </w:pPr>
            <w:r>
              <w:rPr>
                <w:rFonts w:cs="Arial" w:ascii="Arial" w:hAnsi="Arial"/>
                <w:sz w:val="22"/>
                <w:szCs w:val="22"/>
              </w:rPr>
              <w:t xml:space="preserve">Allows respondents to find foods to report either by browsing through food groups or by typing and searching; </w:t>
            </w:r>
          </w:p>
          <w:p>
            <w:pPr>
              <w:pStyle w:val="Normal"/>
              <w:numPr>
                <w:ilvl w:val="0"/>
                <w:numId w:val="5"/>
              </w:numPr>
              <w:spacing w:before="0" w:after="0"/>
              <w:rPr>
                <w:rFonts w:ascii="Arial" w:hAnsi="Arial" w:cs="Arial"/>
              </w:rPr>
            </w:pPr>
            <w:r>
              <w:rPr>
                <w:rFonts w:cs="Arial" w:ascii="Arial" w:hAnsi="Arial"/>
                <w:sz w:val="22"/>
                <w:szCs w:val="22"/>
              </w:rPr>
              <w:t xml:space="preserve">Uses the USDA's Automated Multiple Pass Method (AMPM) interview as a basis for asking detailed probes about each food reported in the quick list; </w:t>
            </w:r>
          </w:p>
          <w:p>
            <w:pPr>
              <w:pStyle w:val="Normal"/>
              <w:numPr>
                <w:ilvl w:val="0"/>
                <w:numId w:val="5"/>
              </w:numPr>
              <w:spacing w:before="0" w:after="0"/>
              <w:rPr>
                <w:rFonts w:ascii="Arial" w:hAnsi="Arial" w:cs="Arial"/>
              </w:rPr>
            </w:pPr>
            <w:r>
              <w:rPr>
                <w:rFonts w:cs="Arial" w:ascii="Arial" w:hAnsi="Arial"/>
                <w:sz w:val="22"/>
                <w:szCs w:val="22"/>
              </w:rPr>
              <w:t xml:space="preserve">Uses photographs to assist respondents in reporting portion size; </w:t>
            </w:r>
          </w:p>
          <w:p>
            <w:pPr>
              <w:pStyle w:val="Normal"/>
              <w:numPr>
                <w:ilvl w:val="0"/>
                <w:numId w:val="5"/>
              </w:numPr>
              <w:spacing w:before="0" w:after="0"/>
              <w:rPr>
                <w:rFonts w:ascii="Arial" w:hAnsi="Arial" w:cs="Arial"/>
              </w:rPr>
            </w:pPr>
            <w:r>
              <w:rPr>
                <w:rFonts w:cs="Arial" w:ascii="Arial" w:hAnsi="Arial"/>
                <w:sz w:val="22"/>
                <w:szCs w:val="22"/>
              </w:rPr>
              <w:t xml:space="preserve">Allows the respondent to add or modify food choices at multiple times during the interview; includes a final review of the day's intake; </w:t>
            </w:r>
          </w:p>
          <w:p>
            <w:pPr>
              <w:pStyle w:val="Normal"/>
              <w:numPr>
                <w:ilvl w:val="0"/>
                <w:numId w:val="5"/>
              </w:numPr>
              <w:spacing w:before="0" w:after="0"/>
              <w:rPr>
                <w:rFonts w:ascii="Arial" w:hAnsi="Arial" w:cs="Arial"/>
                <w:sz w:val="22"/>
                <w:szCs w:val="22"/>
              </w:rPr>
            </w:pPr>
            <w:r>
              <w:rPr>
                <w:rFonts w:cs="Arial" w:ascii="Arial" w:hAnsi="Arial"/>
                <w:sz w:val="22"/>
                <w:szCs w:val="22"/>
              </w:rPr>
              <w:t xml:space="preserve">Produces individual-level nutrient and My Pyramid Equivalent Database (MPED) estimates for researchers based on USDA's Food and Nutrient Database for Dietary Studies nutrient values (FNDDS). These data can be further analyzed by researchers or used to provide reports to respondents; </w:t>
            </w:r>
          </w:p>
          <w:p>
            <w:pPr>
              <w:pStyle w:val="Normal"/>
              <w:numPr>
                <w:ilvl w:val="0"/>
                <w:numId w:val="5"/>
              </w:numPr>
              <w:spacing w:before="0" w:after="0"/>
              <w:rPr>
                <w:rFonts w:ascii="Arial" w:hAnsi="Arial" w:cs="Arial"/>
              </w:rPr>
            </w:pPr>
            <w:r>
              <w:rPr>
                <w:rFonts w:cs="Arial" w:ascii="Arial" w:hAnsi="Arial"/>
                <w:sz w:val="22"/>
                <w:szCs w:val="22"/>
              </w:rPr>
              <w:t xml:space="preserve">Provides an optional vitamin and mineral supplement module; </w:t>
            </w:r>
          </w:p>
          <w:p>
            <w:pPr>
              <w:pStyle w:val="Normal"/>
              <w:numPr>
                <w:ilvl w:val="0"/>
                <w:numId w:val="5"/>
              </w:numPr>
              <w:spacing w:before="0" w:after="0"/>
              <w:rPr>
                <w:rFonts w:ascii="Arial" w:hAnsi="Arial" w:cs="Arial"/>
              </w:rPr>
            </w:pPr>
            <w:r>
              <w:rPr>
                <w:rFonts w:cs="Arial" w:ascii="Arial" w:hAnsi="Arial"/>
                <w:sz w:val="22"/>
                <w:szCs w:val="22"/>
              </w:rPr>
              <w:t xml:space="preserve">Provides optional modules to assess where meals were consumed, where food was obtained, who the meals were eaten with, and whether or not the TV was on and being watched; </w:t>
            </w:r>
          </w:p>
          <w:p>
            <w:pPr>
              <w:pStyle w:val="Normal"/>
              <w:numPr>
                <w:ilvl w:val="0"/>
                <w:numId w:val="5"/>
              </w:numPr>
              <w:spacing w:before="0" w:after="280"/>
              <w:rPr>
                <w:rFonts w:ascii="Arial" w:hAnsi="Arial" w:cs="Arial"/>
              </w:rPr>
            </w:pPr>
            <w:r>
              <w:rPr>
                <w:rFonts w:cs="Arial" w:ascii="Arial" w:hAnsi="Arial"/>
                <w:sz w:val="22"/>
                <w:szCs w:val="22"/>
              </w:rPr>
              <w:t>Allows researchers to add their own opening and closing text scripts and study logo specific to their project's needs; and allows researchers to monitor study progress and to obtain a variety of reports including complete, incomplete and upcoming recalls.</w:t>
            </w:r>
          </w:p>
          <w:p>
            <w:pPr>
              <w:pStyle w:val="Normal"/>
              <w:spacing w:before="280" w:after="280"/>
              <w:rPr>
                <w:rFonts w:ascii="Arial" w:hAnsi="Arial" w:cs="Arial"/>
                <w:b/>
                <w:b/>
              </w:rPr>
            </w:pPr>
            <w:r>
              <w:rPr>
                <w:rFonts w:cs="Arial" w:ascii="Arial" w:hAnsi="Arial"/>
                <w:b/>
                <w:sz w:val="22"/>
                <w:szCs w:val="22"/>
              </w:rPr>
              <w:t xml:space="preserve">Additional information: </w:t>
            </w:r>
          </w:p>
          <w:p>
            <w:pPr>
              <w:pStyle w:val="Normal"/>
              <w:spacing w:before="280" w:after="280"/>
              <w:rPr>
                <w:rFonts w:ascii="Arial" w:hAnsi="Arial" w:cs="Arial"/>
              </w:rPr>
            </w:pPr>
            <w:r>
              <w:rPr>
                <w:rFonts w:cs="Arial" w:ascii="Arial" w:hAnsi="Arial"/>
                <w:iCs/>
                <w:sz w:val="22"/>
                <w:szCs w:val="22"/>
              </w:rPr>
              <w:t>Cost</w:t>
            </w:r>
            <w:r>
              <w:rPr>
                <w:rFonts w:cs="Arial" w:ascii="Arial" w:hAnsi="Arial"/>
                <w:sz w:val="22"/>
                <w:szCs w:val="22"/>
              </w:rPr>
              <w:t>: NCI is currently providing the AS24 at no cost to researchers and clinicians. Costs that might be incurred by researchers are systems and labor costs associated with providing participant IDs, dates to complete, and other information to NCI as well as costs associated with contacting participants to complete the ASA24.</w:t>
            </w:r>
          </w:p>
          <w:p>
            <w:pPr>
              <w:pStyle w:val="Normal"/>
              <w:spacing w:before="280" w:after="280"/>
              <w:rPr>
                <w:rFonts w:ascii="Arial" w:hAnsi="Arial" w:cs="Arial"/>
              </w:rPr>
            </w:pPr>
            <w:r>
              <w:rPr>
                <w:rFonts w:cs="Arial" w:ascii="Arial" w:hAnsi="Arial"/>
                <w:iCs/>
                <w:sz w:val="22"/>
                <w:szCs w:val="22"/>
              </w:rPr>
              <w:t>Time</w:t>
            </w:r>
            <w:r>
              <w:rPr>
                <w:rFonts w:cs="Arial" w:ascii="Arial" w:hAnsi="Arial"/>
                <w:sz w:val="22"/>
                <w:szCs w:val="22"/>
              </w:rPr>
              <w:t>: NCI is planning to assess the time it takes participants to complete the ASA24 in an upcoming study. The first time participants try to complete the ASA24 it is likely to take longer than subsequent attempts. It is estimated that it will take 20 - 30 minutes to complete, depending on the complexity of a participant's intake the previous day and how easily a participant learns the software.</w:t>
            </w:r>
          </w:p>
          <w:p>
            <w:pPr>
              <w:pStyle w:val="Normal"/>
              <w:spacing w:before="280" w:after="280"/>
              <w:rPr>
                <w:rFonts w:ascii="Arial" w:hAnsi="Arial" w:cs="Arial"/>
              </w:rPr>
            </w:pPr>
            <w:r>
              <w:rPr>
                <w:rFonts w:cs="Arial" w:ascii="Arial" w:hAnsi="Arial"/>
                <w:sz w:val="22"/>
                <w:szCs w:val="22"/>
              </w:rPr>
              <w:t>ASA24 does not yet collect individual information on commonly consumed foods so that at subsequent administrations, participants cannot access a list of their commonly consumed foods, or "favorites".  This feature may be included in subsequent versions.</w:t>
            </w:r>
          </w:p>
          <w:p>
            <w:pPr>
              <w:pStyle w:val="Normal"/>
              <w:spacing w:before="280" w:after="280"/>
              <w:rPr>
                <w:rFonts w:ascii="Arial" w:hAnsi="Arial" w:cs="Arial"/>
              </w:rPr>
            </w:pPr>
            <w:r>
              <w:rPr>
                <w:rFonts w:cs="Arial" w:ascii="Arial" w:hAnsi="Arial"/>
                <w:sz w:val="22"/>
                <w:szCs w:val="22"/>
              </w:rPr>
              <w:t xml:space="preserve">Researchers may request any or all of the following seven analytic files: </w:t>
            </w:r>
          </w:p>
          <w:p>
            <w:pPr>
              <w:pStyle w:val="Normal"/>
              <w:numPr>
                <w:ilvl w:val="1"/>
                <w:numId w:val="2"/>
              </w:numPr>
              <w:spacing w:before="0" w:after="0"/>
              <w:rPr>
                <w:rFonts w:ascii="Arial" w:hAnsi="Arial" w:cs="Arial"/>
              </w:rPr>
            </w:pPr>
            <w:r>
              <w:rPr>
                <w:rFonts w:cs="Arial" w:ascii="Arial" w:hAnsi="Arial"/>
                <w:sz w:val="22"/>
                <w:szCs w:val="22"/>
              </w:rPr>
              <w:t xml:space="preserve">My Selections - food list terms, questions, and answers. </w:t>
            </w:r>
          </w:p>
          <w:p>
            <w:pPr>
              <w:pStyle w:val="Normal"/>
              <w:numPr>
                <w:ilvl w:val="1"/>
                <w:numId w:val="2"/>
              </w:numPr>
              <w:spacing w:before="0" w:after="0"/>
              <w:rPr>
                <w:rFonts w:ascii="Arial" w:hAnsi="Arial" w:cs="Arial"/>
              </w:rPr>
            </w:pPr>
            <w:r>
              <w:rPr>
                <w:rFonts w:cs="Arial" w:ascii="Arial" w:hAnsi="Arial"/>
                <w:sz w:val="22"/>
                <w:szCs w:val="22"/>
              </w:rPr>
              <w:t xml:space="preserve">Individual Foods - FNDDS Food Code &amp; Gram weights plus Nutrients (each row is a food). </w:t>
            </w:r>
          </w:p>
          <w:p>
            <w:pPr>
              <w:pStyle w:val="Normal"/>
              <w:numPr>
                <w:ilvl w:val="1"/>
                <w:numId w:val="2"/>
              </w:numPr>
              <w:spacing w:before="0" w:after="0"/>
              <w:rPr>
                <w:rFonts w:ascii="Arial" w:hAnsi="Arial" w:cs="Arial"/>
              </w:rPr>
            </w:pPr>
            <w:r>
              <w:rPr>
                <w:rFonts w:cs="Arial" w:ascii="Arial" w:hAnsi="Arial"/>
                <w:sz w:val="22"/>
                <w:szCs w:val="22"/>
              </w:rPr>
              <w:t xml:space="preserve">Individual Foods - FNDDS Food Code &amp; Gram weights, Pyramid Equivalents/Servings + HEI. </w:t>
            </w:r>
          </w:p>
          <w:p>
            <w:pPr>
              <w:pStyle w:val="Normal"/>
              <w:numPr>
                <w:ilvl w:val="1"/>
                <w:numId w:val="2"/>
              </w:numPr>
              <w:spacing w:before="0" w:after="0"/>
              <w:rPr>
                <w:rFonts w:ascii="Arial" w:hAnsi="Arial" w:cs="Arial"/>
              </w:rPr>
            </w:pPr>
            <w:r>
              <w:rPr>
                <w:rFonts w:cs="Arial" w:ascii="Arial" w:hAnsi="Arial"/>
                <w:sz w:val="22"/>
                <w:szCs w:val="22"/>
              </w:rPr>
              <w:t xml:space="preserve">Total Nutrients - FNDDS Nutrients (each row/record is a Day for an ID). </w:t>
            </w:r>
          </w:p>
          <w:p>
            <w:pPr>
              <w:pStyle w:val="Normal"/>
              <w:numPr>
                <w:ilvl w:val="1"/>
                <w:numId w:val="2"/>
              </w:numPr>
              <w:spacing w:before="0" w:after="0"/>
              <w:rPr>
                <w:rFonts w:ascii="Arial" w:hAnsi="Arial" w:cs="Arial"/>
              </w:rPr>
            </w:pPr>
            <w:r>
              <w:rPr>
                <w:rFonts w:cs="Arial" w:ascii="Arial" w:hAnsi="Arial"/>
                <w:sz w:val="22"/>
                <w:szCs w:val="22"/>
              </w:rPr>
              <w:t xml:space="preserve">Total Nutrients - Pyramid Equivalents/Servings + HEI* (each row/record is a Day for an ID). </w:t>
            </w:r>
          </w:p>
          <w:p>
            <w:pPr>
              <w:pStyle w:val="Normal"/>
              <w:numPr>
                <w:ilvl w:val="1"/>
                <w:numId w:val="2"/>
              </w:numPr>
              <w:spacing w:before="0" w:after="0"/>
              <w:rPr>
                <w:rFonts w:ascii="Arial" w:hAnsi="Arial" w:cs="Arial"/>
              </w:rPr>
            </w:pPr>
            <w:r>
              <w:rPr>
                <w:rFonts w:cs="Arial" w:ascii="Arial" w:hAnsi="Arial"/>
                <w:sz w:val="22"/>
                <w:szCs w:val="22"/>
              </w:rPr>
              <w:t xml:space="preserve">Individual Supplements - NHANES** Nutrients. </w:t>
            </w:r>
          </w:p>
          <w:p>
            <w:pPr>
              <w:pStyle w:val="Normal"/>
              <w:numPr>
                <w:ilvl w:val="1"/>
                <w:numId w:val="2"/>
              </w:numPr>
              <w:spacing w:before="0" w:after="0"/>
              <w:rPr>
                <w:rFonts w:ascii="Arial" w:hAnsi="Arial" w:cs="Arial"/>
                <w:lang w:val="fr-FR"/>
              </w:rPr>
            </w:pPr>
            <w:r>
              <w:rPr>
                <w:rFonts w:cs="Arial" w:ascii="Arial" w:hAnsi="Arial"/>
                <w:sz w:val="22"/>
                <w:szCs w:val="22"/>
                <w:lang w:val="fr-FR"/>
              </w:rPr>
              <w:t xml:space="preserve">Supplements Total Nutrients - NHANES Nutrients. </w:t>
            </w:r>
          </w:p>
          <w:p>
            <w:pPr>
              <w:pStyle w:val="Normal"/>
              <w:numPr>
                <w:ilvl w:val="1"/>
                <w:numId w:val="2"/>
              </w:numPr>
              <w:spacing w:before="0" w:after="280"/>
              <w:rPr>
                <w:rFonts w:ascii="Arial" w:hAnsi="Arial" w:cs="Arial"/>
              </w:rPr>
            </w:pPr>
            <w:r>
              <w:rPr>
                <w:rFonts w:cs="Arial" w:ascii="Arial" w:hAnsi="Arial"/>
                <w:sz w:val="22"/>
                <w:szCs w:val="22"/>
              </w:rPr>
              <w:t xml:space="preserve">Total Nutrients (Foods + Supplements) - FNDDS Nutrients and NHANES Nutrients. </w:t>
            </w:r>
          </w:p>
          <w:p>
            <w:pPr>
              <w:pStyle w:val="Normal"/>
              <w:spacing w:before="280" w:after="280"/>
              <w:ind w:left="720" w:hanging="0"/>
              <w:rPr>
                <w:rFonts w:ascii="Arial" w:hAnsi="Arial" w:cs="Arial"/>
              </w:rPr>
            </w:pPr>
            <w:r>
              <w:rPr>
                <w:rFonts w:cs="Arial" w:ascii="Arial" w:hAnsi="Arial"/>
                <w:sz w:val="22"/>
                <w:szCs w:val="22"/>
              </w:rPr>
              <w:t>*HEI = Healthy Eating Index</w:t>
            </w:r>
          </w:p>
          <w:p>
            <w:pPr>
              <w:pStyle w:val="Normal"/>
              <w:spacing w:before="280" w:after="280"/>
              <w:ind w:left="720" w:hanging="0"/>
              <w:rPr>
                <w:rFonts w:ascii="Arial" w:hAnsi="Arial" w:cs="Arial"/>
              </w:rPr>
            </w:pPr>
            <w:r>
              <w:rPr>
                <w:rFonts w:cs="Arial" w:ascii="Arial" w:hAnsi="Arial"/>
                <w:sz w:val="22"/>
                <w:szCs w:val="22"/>
              </w:rPr>
              <w:t>**NHANES = National Health and Nutrition Examination Survey (NHANES)</w:t>
            </w:r>
          </w:p>
          <w:p>
            <w:pPr>
              <w:pStyle w:val="Normal"/>
              <w:spacing w:before="280" w:after="280"/>
              <w:rPr>
                <w:rFonts w:ascii="Arial" w:hAnsi="Arial" w:cs="Arial"/>
              </w:rPr>
            </w:pPr>
            <w:r>
              <w:rPr>
                <w:rFonts w:cs="Arial" w:ascii="Arial" w:hAnsi="Arial"/>
                <w:sz w:val="22"/>
                <w:szCs w:val="22"/>
              </w:rPr>
              <w:t xml:space="preserve">The ASA24 will initially provide all nutrients currently available from </w:t>
            </w:r>
            <w:hyperlink r:id="rId2">
              <w:r>
                <w:rPr>
                  <w:rStyle w:val="InternetLink"/>
                  <w:rFonts w:cs="Arial" w:ascii="Arial" w:hAnsi="Arial"/>
                  <w:color w:val="000000"/>
                  <w:sz w:val="22"/>
                  <w:szCs w:val="22"/>
                  <w:u w:val="none"/>
                </w:rPr>
                <w:t>FNDDS 1.0</w:t>
              </w:r>
            </w:hyperlink>
            <w:r>
              <w:rPr>
                <w:rFonts w:cs="Arial" w:ascii="Arial" w:hAnsi="Arial"/>
                <w:sz w:val="22"/>
                <w:szCs w:val="22"/>
              </w:rPr>
              <w:t xml:space="preserve"> and the </w:t>
            </w:r>
            <w:r>
              <w:rPr>
                <w:rFonts w:cs="Arial" w:ascii="Arial" w:hAnsi="Arial"/>
                <w:bCs/>
                <w:sz w:val="22"/>
                <w:szCs w:val="22"/>
              </w:rPr>
              <w:t>MYPYRAMID EQUIVALENTS DATABASE (</w:t>
            </w:r>
            <w:hyperlink r:id="rId3">
              <w:r>
                <w:rPr>
                  <w:rStyle w:val="InternetLink"/>
                  <w:rFonts w:cs="Arial" w:ascii="Arial" w:hAnsi="Arial"/>
                  <w:color w:val="000000"/>
                  <w:sz w:val="22"/>
                  <w:szCs w:val="22"/>
                  <w:u w:val="none"/>
                </w:rPr>
                <w:t>MPED</w:t>
              </w:r>
            </w:hyperlink>
            <w:r>
              <w:rPr>
                <w:rFonts w:cs="Arial" w:ascii="Arial" w:hAnsi="Arial"/>
                <w:sz w:val="22"/>
                <w:szCs w:val="22"/>
              </w:rPr>
              <w:t xml:space="preserve">). </w:t>
            </w:r>
          </w:p>
          <w:p>
            <w:pPr>
              <w:pStyle w:val="Normal"/>
              <w:spacing w:before="280" w:after="280"/>
              <w:rPr>
                <w:rFonts w:ascii="Arial" w:hAnsi="Arial" w:cs="Arial"/>
              </w:rPr>
            </w:pPr>
            <w:r>
              <w:rPr>
                <w:rFonts w:cs="Arial" w:ascii="Arial" w:hAnsi="Arial"/>
                <w:sz w:val="22"/>
                <w:szCs w:val="22"/>
              </w:rPr>
              <w:t>Researchers may obtain their data in batches on a daily basis and can design and send reports to participants as desired. Clinical investigators may specify that they wish to obtain real-time reports for an individual. This will likely take 10 minutes to process and will not have specific formatting for the lay public.</w:t>
            </w:r>
          </w:p>
          <w:p>
            <w:pPr>
              <w:pStyle w:val="Normal"/>
              <w:spacing w:before="280" w:after="280"/>
              <w:rPr>
                <w:rFonts w:ascii="Arial" w:hAnsi="Arial" w:cs="Arial"/>
              </w:rPr>
            </w:pPr>
            <w:r>
              <w:rPr>
                <w:rFonts w:cs="Arial" w:ascii="Arial" w:hAnsi="Arial"/>
                <w:sz w:val="22"/>
                <w:szCs w:val="22"/>
              </w:rPr>
              <w:t>ASA24 is linked to the updates of AMPM, FNDDS, and MPED. Soon after those systems are updated, it is anticipated that NCI will update ASA24.</w:t>
            </w:r>
          </w:p>
          <w:p>
            <w:pPr>
              <w:pStyle w:val="NormalWeb"/>
              <w:rPr>
                <w:rFonts w:ascii="Arial" w:hAnsi="Arial" w:cs="Arial"/>
              </w:rPr>
            </w:pPr>
            <w:r>
              <w:rPr>
                <w:rFonts w:cs="Arial" w:ascii="Arial" w:hAnsi="Arial"/>
                <w:sz w:val="22"/>
                <w:szCs w:val="22"/>
              </w:rPr>
              <w:t xml:space="preserve">An ASA24 beta version as well as a demonstration (demo) version is now available at http://riskfactor.cancer.gov/tools/instruments/asa24/. ASA24 requires high-speed Internet access. The demo allows interested users to view and use the current version. The demo will not save any information or provide any dietary analyses. NCI has released the software for use by </w:t>
            </w:r>
            <w:r>
              <w:rPr>
                <w:rStyle w:val="StrongEmphasis"/>
                <w:rFonts w:cs="Arial" w:ascii="Arial" w:hAnsi="Arial"/>
                <w:b w:val="false"/>
                <w:sz w:val="22"/>
                <w:szCs w:val="22"/>
              </w:rPr>
              <w:t>researchers and clinicians</w:t>
            </w:r>
            <w:r>
              <w:rPr>
                <w:rFonts w:cs="Arial" w:ascii="Arial" w:hAnsi="Arial"/>
                <w:sz w:val="22"/>
                <w:szCs w:val="22"/>
              </w:rPr>
              <w:t>. It is not available to the general public. Researchers and clinicians can access and use ASA24 via a Researcher Web site, also available at http://riskfactor.cancer.gov/tools/instruments/asa24/. On the Researcher Web site, researchers register for a study, complete the necessary information, and obtain nutrient and food group analyses for respondents.</w:t>
            </w:r>
          </w:p>
          <w:p>
            <w:pPr>
              <w:pStyle w:val="NormalWeb"/>
              <w:rPr>
                <w:rFonts w:ascii="Arial" w:hAnsi="Arial" w:cs="Arial"/>
              </w:rPr>
            </w:pPr>
            <w:r>
              <w:rPr>
                <w:rFonts w:cs="Arial" w:ascii="Arial" w:hAnsi="Arial"/>
                <w:sz w:val="22"/>
                <w:szCs w:val="22"/>
              </w:rPr>
              <w:t xml:space="preserve">An ASA24 researcher Web site, distinct from the respondent Web site, offers guidance to researchers in using the ASA24. The researcher site provides an overview of the ASA24 and extensive instructions on how to register a study and its participants, set study parameters (e.g. number of recalls, number of attempts per recall, time to complete a recall), manage study logistics, upload data, and obtain final data files. </w:t>
            </w:r>
          </w:p>
          <w:p>
            <w:pPr>
              <w:pStyle w:val="Normal"/>
              <w:spacing w:before="280" w:after="280"/>
              <w:rPr>
                <w:rFonts w:ascii="Arial" w:hAnsi="Arial" w:cs="Arial"/>
              </w:rPr>
            </w:pPr>
            <w:r>
              <w:rPr>
                <w:rFonts w:cs="Arial" w:ascii="Arial" w:hAnsi="Arial"/>
                <w:sz w:val="22"/>
                <w:szCs w:val="22"/>
              </w:rPr>
              <w:t>During development, ASA24 underwent numerous small scale cognitive and usability tests. Two larger studies are further evaluating ASA24:</w:t>
            </w:r>
          </w:p>
          <w:p>
            <w:pPr>
              <w:pStyle w:val="Normal"/>
              <w:numPr>
                <w:ilvl w:val="0"/>
                <w:numId w:val="4"/>
              </w:numPr>
              <w:spacing w:before="0" w:after="280"/>
              <w:rPr>
                <w:rFonts w:ascii="Arial" w:hAnsi="Arial" w:cs="Arial"/>
              </w:rPr>
            </w:pPr>
            <w:r>
              <w:rPr>
                <w:rFonts w:cs="Arial" w:ascii="Arial" w:hAnsi="Arial"/>
                <w:bCs/>
                <w:sz w:val="22"/>
                <w:szCs w:val="22"/>
              </w:rPr>
              <w:t>AARP Feasibility Study:</w:t>
            </w:r>
            <w:r>
              <w:rPr>
                <w:rFonts w:cs="Arial" w:ascii="Arial" w:hAnsi="Arial"/>
                <w:sz w:val="22"/>
                <w:szCs w:val="22"/>
              </w:rPr>
              <w:t xml:space="preserve"> This pilot study, begun in January of 2009, is assessing the use of ASA24 in an ongoing cohort study, the AARP Diet and Health Study. The study is evaluating technical performance of the software, Web sites, and study management software, estimating response rates, and determining dietary distributions of participants.</w:t>
            </w:r>
          </w:p>
          <w:p>
            <w:pPr>
              <w:pStyle w:val="Normal"/>
              <w:numPr>
                <w:ilvl w:val="0"/>
                <w:numId w:val="3"/>
              </w:numPr>
              <w:spacing w:before="0" w:after="280"/>
              <w:rPr>
                <w:rFonts w:ascii="Arial" w:hAnsi="Arial" w:cs="Arial"/>
              </w:rPr>
            </w:pPr>
            <w:r>
              <w:rPr>
                <w:rFonts w:cs="Arial" w:ascii="Arial" w:hAnsi="Arial"/>
                <w:bCs/>
                <w:sz w:val="22"/>
                <w:szCs w:val="22"/>
              </w:rPr>
              <w:t>ASA24 Comparison and Validation Studies:</w:t>
            </w:r>
            <w:r>
              <w:rPr>
                <w:rFonts w:cs="Arial" w:ascii="Arial" w:hAnsi="Arial"/>
                <w:sz w:val="22"/>
                <w:szCs w:val="22"/>
              </w:rPr>
              <w:t xml:space="preserve"> One large study of healthy individuals in a variety of geographic regions will compare the nutrient and food group values from respondents completing ASA24 to those completing a standardized AMPM interviewer-administered 24HR recall. In a smaller study, the investigators will unobtrusively document food intakes as an objective measure of food intake for participants who are randomly assigned to one of two groups. One group will complete our new recall and the second group will complete a standard interviewer-administered recall. Analyses will assess differences in the validity between the two types of recalls. These studies are expected to begin recruitment in the summer of 2009 and to be completed by January 2010. </w:t>
            </w:r>
          </w:p>
          <w:p>
            <w:pPr>
              <w:pStyle w:val="Normal"/>
              <w:spacing w:before="0" w:after="0"/>
              <w:rPr>
                <w:rFonts w:ascii="Arial" w:hAnsi="Arial" w:cs="Arial"/>
              </w:rPr>
            </w:pPr>
            <w:r>
              <w:rPr>
                <w:rFonts w:cs="Arial" w:ascii="Arial" w:hAnsi="Arial"/>
              </w:rPr>
            </w:r>
          </w:p>
        </w:tc>
      </w:tr>
      <w:tr>
        <w:trPr>
          <w:trHeight w:val="525" w:hRule="atLeast"/>
        </w:trPr>
        <w:tc>
          <w:tcPr>
            <w:tcW w:w="1568"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rPr>
            </w:pPr>
            <w:r>
              <w:rPr>
                <w:rFonts w:cs="Arial" w:ascii="Arial" w:hAnsi="Arial"/>
                <w:b/>
                <w:sz w:val="22"/>
                <w:szCs w:val="22"/>
              </w:rPr>
              <w:t>Participant</w:t>
            </w:r>
            <w:r>
              <w:rPr>
                <w:rFonts w:cs="Arial" w:ascii="Arial" w:hAnsi="Arial"/>
                <w:b/>
                <w:sz w:val="16"/>
                <w:szCs w:val="16"/>
              </w:rPr>
              <w:br/>
              <w:br/>
            </w:r>
            <w:r>
              <w:rPr>
                <w:rFonts w:cs="Arial" w:ascii="Arial" w:hAnsi="Arial"/>
                <w:bCs/>
                <w:sz w:val="14"/>
                <w:szCs w:val="14"/>
              </w:rPr>
              <w:t>(included in Survey &amp; Supplemental Information)</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An individual aged 18 or older</w:t>
            </w:r>
          </w:p>
          <w:p>
            <w:pPr>
              <w:pStyle w:val="Normal"/>
              <w:rPr>
                <w:rFonts w:ascii="Arial" w:hAnsi="Arial" w:cs="Arial"/>
                <w:sz w:val="22"/>
                <w:szCs w:val="22"/>
              </w:rPr>
            </w:pPr>
            <w:r>
              <w:rPr>
                <w:rFonts w:cs="Arial" w:ascii="Arial" w:hAnsi="Arial"/>
                <w:sz w:val="22"/>
                <w:szCs w:val="22"/>
              </w:rPr>
            </w:r>
          </w:p>
        </w:tc>
      </w:tr>
      <w:tr>
        <w:trPr>
          <w:trHeight w:val="1095" w:hRule="atLeast"/>
        </w:trPr>
        <w:tc>
          <w:tcPr>
            <w:tcW w:w="1568"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rPr>
            </w:pPr>
            <w:r>
              <w:rPr>
                <w:rFonts w:cs="Arial" w:ascii="Arial" w:hAnsi="Arial"/>
                <w:b/>
                <w:sz w:val="22"/>
                <w:szCs w:val="22"/>
              </w:rPr>
              <w:t xml:space="preserve">Source </w:t>
            </w:r>
            <w:r>
              <w:rPr>
                <w:rFonts w:cs="Arial" w:ascii="Arial" w:hAnsi="Arial"/>
                <w:b/>
                <w:sz w:val="16"/>
                <w:szCs w:val="16"/>
              </w:rPr>
              <w:br/>
              <w:br/>
            </w:r>
            <w:r>
              <w:rPr>
                <w:rFonts w:cs="Arial" w:ascii="Arial" w:hAnsi="Arial"/>
                <w:bCs/>
                <w:sz w:val="14"/>
                <w:szCs w:val="14"/>
              </w:rPr>
              <w:t>(included in Survey &amp; Supplemental Information)</w:t>
            </w:r>
          </w:p>
          <w:p>
            <w:pPr>
              <w:pStyle w:val="Normal"/>
              <w:ind w:left="120" w:hanging="0"/>
              <w:rPr>
                <w:rFonts w:ascii="Arial" w:hAnsi="Arial" w:cs="Arial"/>
              </w:rPr>
            </w:pPr>
            <w:r>
              <w:rPr>
                <w:rFonts w:eastAsia="Arial" w:cs="Arial" w:ascii="Arial" w:hAnsi="Arial"/>
                <w:sz w:val="22"/>
                <w:szCs w:val="22"/>
              </w:rPr>
              <w:t xml:space="preserve">     </w:t>
            </w:r>
          </w:p>
          <w:p>
            <w:pPr>
              <w:pStyle w:val="Normal"/>
              <w:rPr>
                <w:rFonts w:ascii="Arial" w:hAnsi="Arial" w:cs="Arial"/>
                <w:b/>
                <w:b/>
              </w:rPr>
            </w:pPr>
            <w:r>
              <w:rPr>
                <w:rFonts w:cs="Arial" w:ascii="Arial" w:hAnsi="Arial"/>
                <w:b/>
              </w:rPr>
            </w:r>
          </w:p>
        </w:tc>
        <w:tc>
          <w:tcPr>
            <w:tcW w:w="10108" w:type="dxa"/>
            <w:tcBorders>
              <w:top w:val="single" w:sz="4" w:space="0" w:color="000000"/>
              <w:left w:val="single" w:sz="4" w:space="0" w:color="000000"/>
              <w:bottom w:val="single" w:sz="4" w:space="0" w:color="000000"/>
              <w:right w:val="single" w:sz="4" w:space="0" w:color="000000"/>
            </w:tcBorders>
          </w:tcPr>
          <w:p>
            <w:pPr>
              <w:pStyle w:val="Heading1"/>
              <w:spacing w:before="0" w:after="0"/>
              <w:rPr>
                <w:b w:val="false"/>
                <w:b w:val="false"/>
                <w:iCs/>
                <w:sz w:val="22"/>
                <w:szCs w:val="22"/>
              </w:rPr>
            </w:pPr>
            <w:r>
              <w:rPr>
                <w:b w:val="false"/>
                <w:iCs/>
                <w:sz w:val="22"/>
                <w:szCs w:val="22"/>
              </w:rPr>
              <w:t xml:space="preserve">National Cancer Institute - Automated Self-administered 24-hour Dietary Recall (ASA24). </w:t>
            </w:r>
          </w:p>
          <w:p>
            <w:pPr>
              <w:pStyle w:val="Normal"/>
              <w:rPr>
                <w:b/>
                <w:b/>
                <w:iCs/>
                <w:sz w:val="22"/>
                <w:szCs w:val="22"/>
              </w:rPr>
            </w:pPr>
            <w:r>
              <w:rPr>
                <w:b/>
                <w:iCs/>
                <w:sz w:val="22"/>
                <w:szCs w:val="22"/>
              </w:rPr>
            </w:r>
          </w:p>
          <w:p>
            <w:pPr>
              <w:pStyle w:val="Normal"/>
              <w:rPr>
                <w:rFonts w:ascii="Arial" w:hAnsi="Arial" w:cs="Arial"/>
                <w:iCs/>
              </w:rPr>
            </w:pPr>
            <w:r>
              <w:rPr>
                <w:rFonts w:cs="Arial" w:ascii="Arial" w:hAnsi="Arial"/>
                <w:iCs/>
                <w:sz w:val="22"/>
                <w:szCs w:val="22"/>
              </w:rPr>
              <w:t>Nutrition in the Prevention and Treatment of Disease, 2</w:t>
            </w:r>
            <w:r>
              <w:rPr>
                <w:rFonts w:cs="Arial" w:ascii="Arial" w:hAnsi="Arial"/>
                <w:iCs/>
                <w:sz w:val="22"/>
                <w:szCs w:val="22"/>
                <w:vertAlign w:val="superscript"/>
              </w:rPr>
              <w:t>nd</w:t>
            </w:r>
            <w:r>
              <w:rPr>
                <w:rFonts w:cs="Arial" w:ascii="Arial" w:hAnsi="Arial"/>
                <w:iCs/>
                <w:sz w:val="22"/>
                <w:szCs w:val="22"/>
              </w:rPr>
              <w:t xml:space="preserve"> edition. Chapter 1. Dietary Assessment Methodology. Thompson, F.E and Subar, A.F Thompson, F.E., Byers, T.1994. Dietary Assessment Resource Manual. American Institute of Nutrition. Journal of Nutrition.124:2245S-2317S.</w:t>
            </w:r>
          </w:p>
          <w:p>
            <w:pPr>
              <w:pStyle w:val="Normal"/>
              <w:rPr>
                <w:rFonts w:ascii="Arial" w:hAnsi="Arial" w:cs="Arial"/>
                <w:iCs/>
              </w:rPr>
            </w:pPr>
            <w:r>
              <w:rPr>
                <w:rFonts w:cs="Arial" w:ascii="Arial" w:hAnsi="Arial"/>
                <w:iCs/>
              </w:rPr>
            </w:r>
          </w:p>
          <w:p>
            <w:pPr>
              <w:pStyle w:val="Normal"/>
              <w:rPr>
                <w:rFonts w:ascii="Arial" w:hAnsi="Arial" w:cs="Arial"/>
                <w:iCs/>
              </w:rPr>
            </w:pPr>
            <w:r>
              <w:rPr>
                <w:rFonts w:cs="Arial" w:ascii="Arial" w:hAnsi="Arial"/>
                <w:sz w:val="22"/>
                <w:szCs w:val="22"/>
                <w:lang w:val="sv-SE"/>
              </w:rPr>
              <w:t xml:space="preserve">Ingwersen, L., Raper, N., Anand, J., Moshfegh, A. 2004. </w:t>
            </w:r>
            <w:r>
              <w:rPr>
                <w:rFonts w:cs="Arial" w:ascii="Arial" w:hAnsi="Arial"/>
                <w:sz w:val="22"/>
                <w:szCs w:val="22"/>
              </w:rPr>
              <w:t>Validation study shows importance of probing for forgotten foods during a dietary recall [abstract]. Journal of the American Dietetic Association. 104(8) Supplement: A-13.</w:t>
            </w:r>
          </w:p>
          <w:p>
            <w:pPr>
              <w:pStyle w:val="Normal"/>
              <w:rPr>
                <w:rFonts w:ascii="Arial" w:hAnsi="Arial" w:cs="Arial"/>
                <w:iCs/>
              </w:rPr>
            </w:pPr>
            <w:r>
              <w:rPr>
                <w:rFonts w:cs="Arial" w:ascii="Arial" w:hAnsi="Arial"/>
                <w:iCs/>
              </w:rPr>
            </w:r>
          </w:p>
        </w:tc>
      </w:tr>
      <w:tr>
        <w:trPr>
          <w:trHeight w:val="681"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Language of Source</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English, Spanish (future)</w:t>
            </w:r>
          </w:p>
        </w:tc>
      </w:tr>
      <w:tr>
        <w:trPr>
          <w:trHeight w:val="960"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 xml:space="preserve">Personnel and Training Required </w:t>
            </w:r>
            <w:r>
              <w:rPr>
                <w:rFonts w:cs="Arial" w:ascii="Arial" w:hAnsi="Arial"/>
                <w:b/>
                <w:sz w:val="16"/>
                <w:szCs w:val="16"/>
              </w:rPr>
              <w:br/>
              <w:br/>
            </w:r>
            <w:r>
              <w:rPr>
                <w:rFonts w:cs="Arial" w:ascii="Arial" w:hAnsi="Arial"/>
                <w:bCs/>
                <w:sz w:val="14"/>
                <w:szCs w:val="14"/>
              </w:rPr>
              <w:t>(included in Supplemental Information)</w:t>
            </w:r>
          </w:p>
          <w:p>
            <w:pPr>
              <w:pStyle w:val="Normal"/>
              <w:rPr>
                <w:rFonts w:ascii="Arial" w:hAnsi="Arial" w:cs="Arial"/>
                <w:b/>
                <w:b/>
              </w:rPr>
            </w:pPr>
            <w:r>
              <w:rPr>
                <w:rFonts w:cs="Arial" w:ascii="Arial" w:hAnsi="Arial"/>
                <w:b/>
              </w:rPr>
            </w:r>
          </w:p>
        </w:tc>
        <w:tc>
          <w:tcPr>
            <w:tcW w:w="10108"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ascii="Arial" w:hAnsi="Arial" w:cs="Arial"/>
              </w:rPr>
            </w:pPr>
            <w:r>
              <w:rPr>
                <w:rFonts w:cs="Arial" w:ascii="Arial" w:hAnsi="Arial"/>
                <w:sz w:val="22"/>
                <w:szCs w:val="22"/>
              </w:rPr>
              <w:t>None</w:t>
            </w:r>
          </w:p>
        </w:tc>
      </w:tr>
      <w:tr>
        <w:trPr>
          <w:trHeight w:val="960"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 xml:space="preserve">Equipment Needs </w:t>
            </w:r>
            <w:r>
              <w:rPr>
                <w:rFonts w:cs="Arial" w:ascii="Arial" w:hAnsi="Arial"/>
                <w:b/>
                <w:sz w:val="16"/>
                <w:szCs w:val="16"/>
              </w:rPr>
              <w:br/>
              <w:br/>
            </w:r>
            <w:r>
              <w:rPr>
                <w:rFonts w:cs="Arial" w:ascii="Arial" w:hAnsi="Arial"/>
                <w:bCs/>
                <w:sz w:val="14"/>
                <w:szCs w:val="14"/>
              </w:rPr>
              <w:t>(included in Supplemental Information)</w:t>
            </w:r>
          </w:p>
        </w:tc>
        <w:tc>
          <w:tcPr>
            <w:tcW w:w="1010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rPr>
            </w:pPr>
            <w:r>
              <w:rPr>
                <w:rFonts w:cs="Arial" w:ascii="Arial" w:hAnsi="Arial"/>
                <w:sz w:val="22"/>
                <w:szCs w:val="22"/>
              </w:rPr>
              <w:t>Computer with high-speed Internet access</w:t>
            </w:r>
          </w:p>
        </w:tc>
      </w:tr>
      <w:tr>
        <w:trPr>
          <w:trHeight w:val="743"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Protocol Type</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rPr>
              <w:t xml:space="preserve">Self-administered branching web-based questionnaire  </w:t>
            </w:r>
            <w:r>
              <w:rPr>
                <w:rFonts w:cs="Arial" w:ascii="Arial" w:hAnsi="Arial"/>
                <w:sz w:val="22"/>
                <w:szCs w:val="22"/>
              </w:rPr>
              <w:t xml:space="preserve"> </w:t>
            </w:r>
          </w:p>
        </w:tc>
      </w:tr>
      <w:tr>
        <w:trPr>
          <w:trHeight w:val="4288"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Burden:</w:t>
            </w:r>
          </w:p>
          <w:p>
            <w:pPr>
              <w:pStyle w:val="Normal"/>
              <w:rPr>
                <w:rFonts w:ascii="Arial" w:hAnsi="Arial" w:cs="Arial"/>
                <w:b/>
                <w:b/>
              </w:rPr>
            </w:pPr>
            <w:r>
              <w:rPr>
                <w:rFonts w:cs="Arial" w:ascii="Arial" w:hAnsi="Arial"/>
                <w:b/>
              </w:rPr>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w:t>
            </w:r>
          </w:p>
          <w:p>
            <w:pPr>
              <w:pStyle w:val="Normal"/>
              <w:rPr>
                <w:rFonts w:ascii="Arial" w:hAnsi="Arial" w:cs="Arial"/>
                <w:sz w:val="22"/>
                <w:szCs w:val="22"/>
              </w:rPr>
            </w:pPr>
            <w:r>
              <w:rPr>
                <w:rFonts w:cs="Arial" w:ascii="Arial" w:hAnsi="Arial"/>
                <w:sz w:val="22"/>
                <w:szCs w:val="22"/>
              </w:rPr>
            </w:r>
            <w:r>
              <mc:AlternateContent>
                <mc:Choice Requires="wps">
                  <w:drawing>
                    <wp:anchor behindDoc="0" distT="0" distB="0" distL="0" distR="114300" simplePos="0" locked="0" layoutInCell="1" allowOverlap="1" relativeHeight="2">
                      <wp:simplePos x="0" y="0"/>
                      <wp:positionH relativeFrom="column">
                        <wp:align>left</wp:align>
                      </wp:positionH>
                      <wp:positionV relativeFrom="paragraph">
                        <wp:posOffset>635</wp:posOffset>
                      </wp:positionV>
                      <wp:extent cx="3365500" cy="1663065"/>
                      <wp:effectExtent l="0" t="0" r="0" b="0"/>
                      <wp:wrapSquare wrapText="bothSides"/>
                      <wp:docPr id="1" name="Frame1"/>
                      <a:graphic xmlns:a="http://schemas.openxmlformats.org/drawingml/2006/main">
                        <a:graphicData uri="http://schemas.microsoft.com/office/word/2010/wordprocessingShape">
                          <wps:wsp>
                            <wps:cNvSpPr txBox="1"/>
                            <wps:spPr>
                              <a:xfrm>
                                <a:off x="0" y="0"/>
                                <a:ext cx="3365500" cy="1663065"/>
                              </a:xfrm>
                              <a:prstGeom prst="rect"/>
                              <a:solidFill>
                                <a:srgbClr val="FFFFFF"/>
                              </a:solidFill>
                            </wps:spPr>
                            <wps:txbx>
                              <w:txbxContent>
                                <w:tbl>
                                  <w:tblPr>
                                    <w:tblW w:w="5000" w:type="pct"/>
                                    <w:jc w:val="left"/>
                                    <w:tblInd w:w="-10" w:type="dxa"/>
                                    <w:tblLayout w:type="fixed"/>
                                    <w:tblCellMar>
                                      <w:top w:w="0" w:type="dxa"/>
                                      <w:left w:w="108" w:type="dxa"/>
                                      <w:bottom w:w="0" w:type="dxa"/>
                                      <w:right w:w="108" w:type="dxa"/>
                                    </w:tblCellMar>
                                  </w:tblPr>
                                  <w:tblGrid>
                                    <w:gridCol w:w="3052"/>
                                    <w:gridCol w:w="2248"/>
                                  </w:tblGrid>
                                  <w:tr>
                                    <w:trPr>
                                      <w:trHeight w:val="384" w:hRule="atLeast"/>
                                    </w:trPr>
                                    <w:tc>
                                      <w:tcPr>
                                        <w:tcW w:w="3052" w:type="dxa"/>
                                        <w:tcBorders>
                                          <w:top w:val="single" w:sz="8" w:space="0" w:color="000000"/>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b/>
                                            <w:bCs/>
                                            <w:sz w:val="22"/>
                                            <w:szCs w:val="22"/>
                                          </w:rPr>
                                          <w:t> </w:t>
                                        </w:r>
                                      </w:p>
                                      <w:p>
                                        <w:pPr>
                                          <w:pStyle w:val="Normal"/>
                                          <w:rPr>
                                            <w:rFonts w:ascii="Arial" w:hAnsi="Arial" w:cs="Arial"/>
                                            <w:sz w:val="22"/>
                                            <w:szCs w:val="22"/>
                                          </w:rPr>
                                        </w:pPr>
                                        <w:r>
                                          <w:rPr>
                                            <w:rFonts w:cs="Arial" w:ascii="Arial" w:hAnsi="Arial"/>
                                            <w:b/>
                                            <w:bCs/>
                                            <w:sz w:val="22"/>
                                            <w:szCs w:val="22"/>
                                          </w:rPr>
                                          <w:t>Requirements Category</w:t>
                                        </w:r>
                                      </w:p>
                                      <w:p>
                                        <w:pPr>
                                          <w:pStyle w:val="Normal"/>
                                          <w:rPr>
                                            <w:rFonts w:ascii="Arial" w:hAnsi="Arial" w:cs="Arial"/>
                                            <w:sz w:val="22"/>
                                            <w:szCs w:val="22"/>
                                          </w:rPr>
                                        </w:pPr>
                                        <w:r>
                                          <w:rPr>
                                            <w:rFonts w:cs="Arial" w:ascii="Arial" w:hAnsi="Arial"/>
                                            <w:b/>
                                            <w:bCs/>
                                            <w:sz w:val="22"/>
                                            <w:szCs w:val="22"/>
                                          </w:rPr>
                                          <w:t> </w:t>
                                        </w:r>
                                      </w:p>
                                    </w:tc>
                                    <w:tc>
                                      <w:tcPr>
                                        <w:tcW w:w="2248" w:type="dxa"/>
                                        <w:tcBorders>
                                          <w:top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b/>
                                            <w:bCs/>
                                            <w:sz w:val="22"/>
                                            <w:szCs w:val="22"/>
                                          </w:rPr>
                                          <w:t> </w:t>
                                        </w:r>
                                      </w:p>
                                      <w:p>
                                        <w:pPr>
                                          <w:pStyle w:val="Normal"/>
                                          <w:rPr>
                                            <w:rFonts w:ascii="Arial" w:hAnsi="Arial" w:cs="Arial"/>
                                            <w:sz w:val="22"/>
                                            <w:szCs w:val="22"/>
                                          </w:rPr>
                                        </w:pPr>
                                        <w:r>
                                          <w:rPr>
                                            <w:rFonts w:cs="Arial" w:ascii="Arial" w:hAnsi="Arial"/>
                                            <w:b/>
                                            <w:bCs/>
                                            <w:sz w:val="22"/>
                                            <w:szCs w:val="22"/>
                                          </w:rPr>
                                          <w:t>Required:  (yes/no)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pPr>
                                        <w:r>
                                          <w:rPr>
                                            <w:rFonts w:cs="Arial" w:ascii="Arial" w:hAnsi="Arial"/>
                                            <w:sz w:val="22"/>
                                            <w:szCs w:val="22"/>
                                          </w:rPr>
                                          <w:t>Major equipment</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sz w:val="22"/>
                                            <w:szCs w:val="22"/>
                                          </w:rPr>
                                          <w:t>Yes</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pPr>
                                        <w:r>
                                          <w:rPr>
                                            <w:rFonts w:cs="Arial" w:ascii="Arial" w:hAnsi="Arial"/>
                                            <w:sz w:val="22"/>
                                            <w:szCs w:val="22"/>
                                          </w:rPr>
                                          <w:t xml:space="preserve">Specialized training </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Licensing fee or cost to obtain and / or use measure</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Specialized requirements for biospecimen collection</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sz w:val="22"/>
                                            <w:szCs w:val="22"/>
                                          </w:rPr>
                                          <w:t>No</w:t>
                                        </w:r>
                                      </w:p>
                                    </w:tc>
                                  </w:tr>
                                </w:tbl>
                              </w:txbxContent>
                            </wps:txbx>
                            <wps:bodyPr anchor="t" lIns="0" tIns="0" rIns="0" bIns="0">
                              <a:noAutofit/>
                            </wps:bodyPr>
                          </wps:wsp>
                        </a:graphicData>
                      </a:graphic>
                    </wp:anchor>
                  </w:drawing>
                </mc:Choice>
                <mc:Fallback>
                  <w:pict>
                    <v:rect style="position:absolute;rotation:-0;width:265pt;height:130.95pt;mso-wrap-distance-left:0pt;mso-wrap-distance-right:9pt;mso-wrap-distance-top:0pt;mso-wrap-distance-bottom:0pt;margin-top:0pt;mso-position-vertical-relative:text;margin-left:0pt;mso-position-horizontal:left;mso-position-horizontal-relative:text">
                      <v:textbox inset="0in,0in,0in,0in">
                        <w:txbxContent>
                          <w:tbl>
                            <w:tblPr>
                              <w:tblW w:w="5000" w:type="pct"/>
                              <w:jc w:val="left"/>
                              <w:tblInd w:w="-10" w:type="dxa"/>
                              <w:tblLayout w:type="fixed"/>
                              <w:tblCellMar>
                                <w:top w:w="0" w:type="dxa"/>
                                <w:left w:w="108" w:type="dxa"/>
                                <w:bottom w:w="0" w:type="dxa"/>
                                <w:right w:w="108" w:type="dxa"/>
                              </w:tblCellMar>
                            </w:tblPr>
                            <w:tblGrid>
                              <w:gridCol w:w="3052"/>
                              <w:gridCol w:w="2248"/>
                            </w:tblGrid>
                            <w:tr>
                              <w:trPr>
                                <w:trHeight w:val="384" w:hRule="atLeast"/>
                              </w:trPr>
                              <w:tc>
                                <w:tcPr>
                                  <w:tcW w:w="3052" w:type="dxa"/>
                                  <w:tcBorders>
                                    <w:top w:val="single" w:sz="8" w:space="0" w:color="000000"/>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b/>
                                      <w:bCs/>
                                      <w:sz w:val="22"/>
                                      <w:szCs w:val="22"/>
                                    </w:rPr>
                                    <w:t> </w:t>
                                  </w:r>
                                </w:p>
                                <w:p>
                                  <w:pPr>
                                    <w:pStyle w:val="Normal"/>
                                    <w:rPr>
                                      <w:rFonts w:ascii="Arial" w:hAnsi="Arial" w:cs="Arial"/>
                                      <w:sz w:val="22"/>
                                      <w:szCs w:val="22"/>
                                    </w:rPr>
                                  </w:pPr>
                                  <w:r>
                                    <w:rPr>
                                      <w:rFonts w:cs="Arial" w:ascii="Arial" w:hAnsi="Arial"/>
                                      <w:b/>
                                      <w:bCs/>
                                      <w:sz w:val="22"/>
                                      <w:szCs w:val="22"/>
                                    </w:rPr>
                                    <w:t>Requirements Category</w:t>
                                  </w:r>
                                </w:p>
                                <w:p>
                                  <w:pPr>
                                    <w:pStyle w:val="Normal"/>
                                    <w:rPr>
                                      <w:rFonts w:ascii="Arial" w:hAnsi="Arial" w:cs="Arial"/>
                                      <w:sz w:val="22"/>
                                      <w:szCs w:val="22"/>
                                    </w:rPr>
                                  </w:pPr>
                                  <w:r>
                                    <w:rPr>
                                      <w:rFonts w:cs="Arial" w:ascii="Arial" w:hAnsi="Arial"/>
                                      <w:b/>
                                      <w:bCs/>
                                      <w:sz w:val="22"/>
                                      <w:szCs w:val="22"/>
                                    </w:rPr>
                                    <w:t> </w:t>
                                  </w:r>
                                </w:p>
                              </w:tc>
                              <w:tc>
                                <w:tcPr>
                                  <w:tcW w:w="2248" w:type="dxa"/>
                                  <w:tcBorders>
                                    <w:top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b/>
                                      <w:bCs/>
                                      <w:sz w:val="22"/>
                                      <w:szCs w:val="22"/>
                                    </w:rPr>
                                    <w:t> </w:t>
                                  </w:r>
                                </w:p>
                                <w:p>
                                  <w:pPr>
                                    <w:pStyle w:val="Normal"/>
                                    <w:rPr>
                                      <w:rFonts w:ascii="Arial" w:hAnsi="Arial" w:cs="Arial"/>
                                      <w:sz w:val="22"/>
                                      <w:szCs w:val="22"/>
                                    </w:rPr>
                                  </w:pPr>
                                  <w:r>
                                    <w:rPr>
                                      <w:rFonts w:cs="Arial" w:ascii="Arial" w:hAnsi="Arial"/>
                                      <w:b/>
                                      <w:bCs/>
                                      <w:sz w:val="22"/>
                                      <w:szCs w:val="22"/>
                                    </w:rPr>
                                    <w:t>Required:  (yes/no)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pPr>
                                  <w:r>
                                    <w:rPr>
                                      <w:rFonts w:cs="Arial" w:ascii="Arial" w:hAnsi="Arial"/>
                                      <w:sz w:val="22"/>
                                      <w:szCs w:val="22"/>
                                    </w:rPr>
                                    <w:t>Major equipment</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sz w:val="22"/>
                                      <w:szCs w:val="22"/>
                                    </w:rPr>
                                    <w:t>Yes</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pPr>
                                  <w:r>
                                    <w:rPr>
                                      <w:rFonts w:cs="Arial" w:ascii="Arial" w:hAnsi="Arial"/>
                                      <w:sz w:val="22"/>
                                      <w:szCs w:val="22"/>
                                    </w:rPr>
                                    <w:t xml:space="preserve">Specialized training </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Licensing fee or cost to obtain and / or use measure</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w:t>
                                  </w:r>
                                </w:p>
                              </w:tc>
                            </w:tr>
                            <w:tr>
                              <w:trPr>
                                <w:trHeight w:val="384" w:hRule="atLeast"/>
                              </w:trPr>
                              <w:tc>
                                <w:tcPr>
                                  <w:tcW w:w="3052" w:type="dxa"/>
                                  <w:tcBorders>
                                    <w:left w:val="single" w:sz="8" w:space="0" w:color="000000"/>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Specialized requirements for biospecimen collection</w:t>
                                  </w:r>
                                </w:p>
                              </w:tc>
                              <w:tc>
                                <w:tcPr>
                                  <w:tcW w:w="2248" w:type="dxa"/>
                                  <w:tcBorders>
                                    <w:bottom w:val="single" w:sz="8" w:space="0" w:color="000000"/>
                                    <w:right w:val="single" w:sz="8" w:space="0" w:color="000000"/>
                                  </w:tcBorders>
                                </w:tcPr>
                                <w:p>
                                  <w:pPr>
                                    <w:pStyle w:val="Normal"/>
                                    <w:rPr>
                                      <w:rFonts w:ascii="Arial" w:hAnsi="Arial" w:cs="Arial"/>
                                      <w:sz w:val="22"/>
                                      <w:szCs w:val="22"/>
                                    </w:rPr>
                                  </w:pPr>
                                  <w:r>
                                    <w:rPr>
                                      <w:rFonts w:cs="Arial" w:ascii="Arial" w:hAnsi="Arial"/>
                                      <w:sz w:val="22"/>
                                      <w:szCs w:val="22"/>
                                    </w:rPr>
                                    <w:t> </w:t>
                                  </w:r>
                                  <w:r>
                                    <w:rPr>
                                      <w:rFonts w:cs="Arial" w:ascii="Arial" w:hAnsi="Arial"/>
                                      <w:sz w:val="22"/>
                                      <w:szCs w:val="22"/>
                                    </w:rPr>
                                    <w:t>No</w:t>
                                  </w:r>
                                </w:p>
                              </w:tc>
                            </w:tr>
                          </w:tbl>
                        </w:txbxContent>
                      </v:textbox>
                      <w10:wrap type="square"/>
                    </v:rect>
                  </w:pict>
                </mc:Fallback>
              </mc:AlternateContent>
            </w:r>
          </w:p>
          <w:p>
            <w:pPr>
              <w:pStyle w:val="Normal"/>
              <w:jc w:val="center"/>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Definitions:</w:t>
            </w:r>
          </w:p>
          <w:p>
            <w:pPr>
              <w:pStyle w:val="Normal"/>
              <w:rPr>
                <w:rFonts w:ascii="Arial" w:hAnsi="Arial" w:cs="Arial"/>
                <w:sz w:val="22"/>
                <w:szCs w:val="22"/>
              </w:rPr>
            </w:pPr>
            <w:r>
              <w:rPr>
                <w:rFonts w:cs="Arial" w:ascii="Arial" w:hAnsi="Arial"/>
                <w:sz w:val="22"/>
                <w:szCs w:val="22"/>
              </w:rPr>
              <w:t> </w:t>
            </w:r>
          </w:p>
          <w:p>
            <w:pPr>
              <w:pStyle w:val="Normal"/>
              <w:rPr/>
            </w:pPr>
            <w:r>
              <w:rPr>
                <w:rFonts w:cs="Arial" w:ascii="Arial" w:hAnsi="Arial"/>
                <w:sz w:val="22"/>
                <w:szCs w:val="22"/>
                <w:u w:val="single"/>
              </w:rPr>
              <w:t>Equipment</w:t>
            </w:r>
            <w:r>
              <w:rPr>
                <w:rFonts w:cs="Arial" w:ascii="Arial" w:hAnsi="Arial"/>
                <w:sz w:val="22"/>
                <w:szCs w:val="22"/>
              </w:rPr>
              <w:t xml:space="preserve">: this measure requires a specialized measurement device that may not be readily available in every setting where genome wide association studies are being conducted.  Examples of specialized equipment are DEXA, Echocardiography, and Spirometry.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Training</w:t>
            </w:r>
            <w:r>
              <w:rPr>
                <w:rFonts w:cs="Arial" w:ascii="Arial" w:hAnsi="Arial"/>
                <w:sz w:val="22"/>
                <w:szCs w:val="22"/>
              </w:rPr>
              <w:t xml:space="preserve">: this measure requires staff training in the protocol methodology and/or in the conduct of the data analysis.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Cost Fee to obtain or use measure</w:t>
            </w:r>
            <w:r>
              <w:rPr>
                <w:rFonts w:cs="Arial" w:ascii="Arial" w:hAnsi="Arial"/>
                <w:sz w:val="22"/>
                <w:szCs w:val="22"/>
              </w:rPr>
              <w:t>:  there is a cost or licensing fee that the investigator must pay to obtain and use this measurement protocol.  The cost category would only indicate that the protocol / instrument is not freely available to the general public.</w:t>
            </w:r>
          </w:p>
          <w:p>
            <w:pPr>
              <w:pStyle w:val="Normal"/>
              <w:rPr>
                <w:rFonts w:ascii="Arial" w:hAnsi="Arial" w:cs="Arial"/>
                <w:sz w:val="22"/>
                <w:szCs w:val="22"/>
              </w:rPr>
            </w:pPr>
            <w:r>
              <w:rPr>
                <w:rFonts w:cs="Arial" w:ascii="Arial" w:hAnsi="Arial"/>
                <w:sz w:val="22"/>
                <w:szCs w:val="22"/>
              </w:rPr>
              <w:t> </w:t>
            </w:r>
          </w:p>
          <w:p>
            <w:pPr>
              <w:pStyle w:val="Normal"/>
              <w:rPr/>
            </w:pPr>
            <w:r>
              <w:rPr>
                <w:rFonts w:cs="Arial" w:ascii="Arial" w:hAnsi="Arial"/>
                <w:sz w:val="22"/>
                <w:szCs w:val="22"/>
                <w:u w:val="single"/>
              </w:rPr>
              <w:t>Cost associated with data analysis</w:t>
            </w:r>
            <w:r>
              <w:rPr>
                <w:rFonts w:cs="Arial" w:ascii="Arial" w:hAnsi="Arial"/>
                <w:sz w:val="22"/>
                <w:szCs w:val="22"/>
              </w:rPr>
              <w:t xml:space="preserve">:  this cost may include manuals, data storage; and proprietary algorithms.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Biospecimen</w:t>
            </w:r>
            <w:r>
              <w:rPr>
                <w:rFonts w:cs="Arial" w:ascii="Arial" w:hAnsi="Arial"/>
                <w:sz w:val="22"/>
                <w:szCs w:val="22"/>
              </w:rPr>
              <w:t>:  this protocol requires that blood, urine, etc. be collected from the study participants.  </w:t>
            </w:r>
          </w:p>
          <w:p>
            <w:pPr>
              <w:pStyle w:val="Normal"/>
              <w:rPr>
                <w:rFonts w:ascii="Arial" w:hAnsi="Arial" w:cs="Arial"/>
                <w:sz w:val="22"/>
                <w:szCs w:val="22"/>
              </w:rPr>
            </w:pPr>
            <w:r>
              <w:rPr>
                <w:rFonts w:cs="Arial" w:ascii="Arial" w:hAnsi="Arial"/>
                <w:sz w:val="22"/>
                <w:szCs w:val="22"/>
              </w:rPr>
            </w:r>
          </w:p>
        </w:tc>
      </w:tr>
      <w:tr>
        <w:trPr>
          <w:trHeight w:val="960"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Common Data Element (CDE)</w:t>
            </w:r>
          </w:p>
        </w:tc>
        <w:tc>
          <w:tcPr>
            <w:tcW w:w="1010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Person Past Day Total Diet Intake Number (2946934)</w:t>
            </w:r>
          </w:p>
        </w:tc>
      </w:tr>
      <w:tr>
        <w:trPr>
          <w:trHeight w:val="960" w:hRule="atLeast"/>
        </w:trPr>
        <w:tc>
          <w:tcPr>
            <w:tcW w:w="156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General References:</w:t>
            </w:r>
            <w:r>
              <w:rPr>
                <w:rFonts w:cs="Arial" w:ascii="Arial" w:hAnsi="Arial"/>
                <w:b/>
                <w:sz w:val="16"/>
                <w:szCs w:val="16"/>
              </w:rPr>
              <w:t xml:space="preserve"> </w:t>
              <w:br/>
              <w:br/>
            </w:r>
            <w:r>
              <w:rPr>
                <w:rFonts w:cs="Arial" w:ascii="Arial" w:hAnsi="Arial"/>
                <w:bCs/>
                <w:sz w:val="14"/>
                <w:szCs w:val="14"/>
              </w:rPr>
              <w:t>(included in Supplemental Information)</w:t>
            </w:r>
          </w:p>
        </w:tc>
        <w:tc>
          <w:tcPr>
            <w:tcW w:w="1010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rPr>
            </w:pPr>
            <w:r>
              <w:rPr>
                <w:rFonts w:cs="Arial" w:ascii="Arial" w:hAnsi="Arial"/>
                <w:sz w:val="22"/>
                <w:szCs w:val="22"/>
              </w:rPr>
              <w:t>None</w:t>
            </w:r>
          </w:p>
        </w:tc>
      </w:tr>
    </w:tbl>
    <w:p>
      <w:pPr>
        <w:pStyle w:val="Normal"/>
        <w:rPr/>
      </w:pPr>
      <w:r>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rPr>
            </w:pPr>
            <w:r>
              <w:rPr>
                <w:rFonts w:cs="Arial" w:ascii="Arial" w:hAnsi="Arial"/>
                <w:b/>
              </w:rPr>
            </w:r>
          </w:p>
        </w:tc>
        <w:tc>
          <w:tcPr>
            <w:tcW w:w="8428" w:type="dxa"/>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b/>
                <w:b/>
                <w:bCs/>
              </w:rPr>
            </w:pPr>
            <w:r>
              <w:rPr>
                <w:rFonts w:cs="Arial" w:ascii="Arial" w:hAnsi="Arial"/>
                <w:b/>
                <w:bCs/>
                <w:sz w:val="22"/>
                <w:szCs w:val="22"/>
              </w:rPr>
              <w:t>Additional Information About the Measure</w:t>
            </w:r>
          </w:p>
        </w:tc>
      </w:tr>
      <w:tr>
        <w:trPr>
          <w:trHeight w:val="578"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Essential Data</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Age, gender, height, weight</w:t>
            </w:r>
          </w:p>
        </w:tc>
      </w:tr>
      <w:tr>
        <w:trPr>
          <w:trHeight w:val="541"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Related PhenX Measures</w:t>
            </w:r>
          </w:p>
          <w:p>
            <w:pPr>
              <w:pStyle w:val="Normal"/>
              <w:rPr>
                <w:rFonts w:ascii="Arial" w:hAnsi="Arial" w:cs="Arial"/>
                <w:b/>
                <w:b/>
              </w:rPr>
            </w:pPr>
            <w:r>
              <w:rPr>
                <w:rFonts w:cs="Arial" w:ascii="Arial" w:hAnsi="Arial"/>
                <w:b/>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 xml:space="preserve">Calcium, Caffeine Intake, Dairy Food Intake, Fiber Intake, Fruits and Vegetable Intake, Percentage Energy from Fat </w:t>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Total nutrient intake</w:t>
            </w:r>
          </w:p>
        </w:tc>
      </w:tr>
      <w:tr>
        <w:trPr>
          <w:trHeight w:val="91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rPr>
            </w:pPr>
            <w:r>
              <w:rPr>
                <w:rFonts w:cs="Arial" w:ascii="Arial" w:hAnsi="Arial"/>
                <w:b/>
                <w:sz w:val="22"/>
                <w:szCs w:val="22"/>
              </w:rPr>
              <w:t xml:space="preserve">Keywords / Related Concepts </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rPr>
            </w:pPr>
            <w:r>
              <w:rPr>
                <w:rFonts w:cs="Arial" w:ascii="Arial" w:hAnsi="Arial"/>
                <w:sz w:val="22"/>
                <w:szCs w:val="22"/>
              </w:rPr>
              <w:t>Nutrition and Dietary Supplements, Total Dietary Intake, 24-hour recall, Fruits, Vegetables, Supplements, Dairy, Water, Vitamins, Minerals, Meats, Fish, Poultry, Whole Grains, Processed Grain, Alternate Supplements, Soy, Gingko, Fish Oils, Fortified Foods, Drinks, Meal Replacements, Diet</w:t>
            </w:r>
          </w:p>
        </w:tc>
      </w:tr>
    </w:tbl>
    <w:p>
      <w:pPr>
        <w:pStyle w:val="Normal"/>
        <w:rPr>
          <w:vanish/>
        </w:rPr>
      </w:pPr>
      <w:r>
        <w:rPr/>
      </w:r>
      <w:bookmarkStart w:id="0" w:name="_PictureBullets"/>
      <w:bookmarkStart w:id="1" w:name="_PictureBullets"/>
      <w:bookmarkEnd w:id="1"/>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Cambria">
    <w:charset w:val="00"/>
    <w:family w:val="roman"/>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szCs w:val="18"/>
      </w:rPr>
    </w:pPr>
    <w:r>
      <w:rPr>
        <w:rFonts w:cs="Arial" w:ascii="Arial" w:hAnsi="Arial"/>
        <w:sz w:val="18"/>
        <w:szCs w:val="18"/>
      </w:rPr>
      <w:t>Version 8 – 3/24/2009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sz w:val="20"/>
        <w:szCs w:val="20"/>
        <w:u w:val="single"/>
      </w:rPr>
      <w:t>Total Dietary Intake-ASA24</w:t>
    </w:r>
    <w:r>
      <w:rPr>
        <w:rFonts w:cs="Arial" w:ascii="Arial" w:hAnsi="Arial"/>
        <w:b/>
        <w:sz w:val="20"/>
        <w:szCs w:val="20"/>
      </w:rPr>
      <w:tab/>
      <w:tab/>
      <w:t xml:space="preserve">                                                                </w:t>
      <w:tab/>
      <w:t>Date of SC final approval</w:t>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216pt;height:216pt" o:bullet="t">
        <v:imagedata r:id="rId1" o:title=""/>
      </v:shape>
    </w:pict>
  </w:numPicBullet>
  <w:numPicBullet w:numPicBulletId="1">
    <w:pict>
      <v:shape style="width:216pt;height:216pt" o:bullet="t">
        <v:imagedata r:id="rId2" o:title=""/>
      </v:shape>
    </w:pict>
  </w:numPicBullet>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lvl w:ilvl="0">
      <w:start w:val="1"/>
      <w:numFmt w:val="bullet"/>
      <w:lvlText w:val=""/>
      <w:lvlJc w:val="left"/>
      <w:pPr>
        <w:tabs>
          <w:tab w:val="num" w:pos="960"/>
        </w:tabs>
        <w:ind w:left="960" w:hanging="360"/>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cs="Times New Roman"/>
    </w:rPr>
  </w:style>
  <w:style w:type="character" w:styleId="WW8Num1z1">
    <w:name w:val="WW8Num1z1"/>
    <w:qFormat/>
    <w:rPr>
      <w:rFonts w:cs="Times New Roman"/>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cs="Times New Roman"/>
    </w:rPr>
  </w:style>
  <w:style w:type="character" w:styleId="WW8Num3z1">
    <w:name w:val="WW8Num3z1"/>
    <w:qFormat/>
    <w:rPr>
      <w:rFonts w:ascii="Symbol" w:hAnsi="Symbol" w:cs="Symbol"/>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rFonts w:cs="Times New Roman"/>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cs="Times New Roman"/>
    </w:rPr>
  </w:style>
  <w:style w:type="character" w:styleId="WW8Num9z0">
    <w:name w:val="WW8Num9z0"/>
    <w:qFormat/>
    <w:rPr>
      <w:rFonts w:ascii="Symbol" w:hAnsi="Symbol" w:eastAsia="Times New Roman"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cs="Times New Roman"/>
    </w:rPr>
  </w:style>
  <w:style w:type="character" w:styleId="WW8Num15z0">
    <w:name w:val="WW8Num15z0"/>
    <w:qFormat/>
    <w:rPr>
      <w:rFonts w:cs="Times New Roman"/>
    </w:rPr>
  </w:style>
  <w:style w:type="character" w:styleId="WW8Num16z0">
    <w:name w:val="WW8Num16z0"/>
    <w:qFormat/>
    <w:rPr>
      <w:rFonts w:cs="Times New Roman"/>
    </w:rPr>
  </w:style>
  <w:style w:type="character" w:styleId="WW8Num17z0">
    <w:name w:val="WW8Num17z0"/>
    <w:qFormat/>
    <w:rPr>
      <w:rFonts w:ascii="Symbol" w:hAnsi="Symbol" w:cs="Symbol"/>
    </w:rPr>
  </w:style>
  <w:style w:type="character" w:styleId="WW8Num17z1">
    <w:name w:val="WW8Num17z1"/>
    <w:qFormat/>
    <w:rPr>
      <w:rFonts w:cs="Times New Roman"/>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cs="Times New Roman"/>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DefaultParagraphFont">
    <w:name w:val="Default Paragraph Font"/>
    <w:qFormat/>
    <w:rPr/>
  </w:style>
  <w:style w:type="character" w:styleId="CharChar8">
    <w:name w:val=" Char Char8"/>
    <w:basedOn w:val="DefaultParagraphFont"/>
    <w:qFormat/>
    <w:rPr>
      <w:rFonts w:ascii="Cambria" w:hAnsi="Cambria" w:cs="Times New Roman"/>
      <w:b/>
      <w:bCs/>
      <w:kern w:val="2"/>
      <w:sz w:val="32"/>
      <w:szCs w:val="32"/>
    </w:rPr>
  </w:style>
  <w:style w:type="character" w:styleId="CharChar7">
    <w:name w:val=" Char Char7"/>
    <w:basedOn w:val="DefaultParagraphFont"/>
    <w:qFormat/>
    <w:rPr>
      <w:rFonts w:ascii="Cambria" w:hAnsi="Cambria" w:cs="Times New Roman"/>
      <w:b/>
      <w:bCs/>
      <w:i/>
      <w:iCs/>
      <w:sz w:val="28"/>
      <w:szCs w:val="28"/>
    </w:rPr>
  </w:style>
  <w:style w:type="character" w:styleId="CharChar6">
    <w:name w:val=" Char Char6"/>
    <w:basedOn w:val="DefaultParagraphFont"/>
    <w:qFormat/>
    <w:rPr>
      <w:rFonts w:cs="Times New Roman"/>
      <w:sz w:val="24"/>
      <w:szCs w:val="24"/>
    </w:rPr>
  </w:style>
  <w:style w:type="character" w:styleId="CharChar5">
    <w:name w:val=" Char Char5"/>
    <w:basedOn w:val="DefaultParagraphFont"/>
    <w:qFormat/>
    <w:rPr>
      <w:rFonts w:cs="Times New Roman"/>
      <w:sz w:val="24"/>
      <w:szCs w:val="24"/>
    </w:rPr>
  </w:style>
  <w:style w:type="character" w:styleId="InternetLink">
    <w:name w:val="Hyperlink"/>
    <w:basedOn w:val="DefaultParagraphFont"/>
    <w:rPr>
      <w:rFonts w:cs="Times New Roman"/>
      <w:color w:val="0000FF"/>
      <w:u w:val="single"/>
    </w:rPr>
  </w:style>
  <w:style w:type="character" w:styleId="VisitedInternetLink">
    <w:name w:val="FollowedHyperlink"/>
    <w:basedOn w:val="DefaultParagraphFont"/>
    <w:rPr>
      <w:rFonts w:cs="Times New Roman"/>
      <w:color w:val="800080"/>
      <w:u w:val="single"/>
    </w:rPr>
  </w:style>
  <w:style w:type="character" w:styleId="CommentReference">
    <w:name w:val="Comment Reference"/>
    <w:basedOn w:val="DefaultParagraphFont"/>
    <w:qFormat/>
    <w:rPr>
      <w:rFonts w:cs="Times New Roman"/>
      <w:sz w:val="16"/>
      <w:szCs w:val="16"/>
    </w:rPr>
  </w:style>
  <w:style w:type="character" w:styleId="CharChar4">
    <w:name w:val=" Char Char4"/>
    <w:basedOn w:val="DefaultParagraphFont"/>
    <w:qFormat/>
    <w:rPr>
      <w:rFonts w:cs="Times New Roman"/>
    </w:rPr>
  </w:style>
  <w:style w:type="character" w:styleId="CharChar3">
    <w:name w:val=" Char Char3"/>
    <w:basedOn w:val="CharChar4"/>
    <w:qFormat/>
    <w:rPr>
      <w:b/>
      <w:bCs/>
    </w:rPr>
  </w:style>
  <w:style w:type="character" w:styleId="CharChar2">
    <w:name w:val=" Char Char2"/>
    <w:basedOn w:val="DefaultParagraphFont"/>
    <w:qFormat/>
    <w:rPr>
      <w:rFonts w:cs="Times New Roman"/>
      <w:sz w:val="2"/>
    </w:rPr>
  </w:style>
  <w:style w:type="character" w:styleId="Emphasis">
    <w:name w:val="Emphasis"/>
    <w:basedOn w:val="DefaultParagraphFont"/>
    <w:qFormat/>
    <w:rPr>
      <w:rFonts w:cs="Times New Roman"/>
      <w:i/>
      <w:iCs/>
    </w:rPr>
  </w:style>
  <w:style w:type="character" w:styleId="CharChar1">
    <w:name w:val=" Char Char1"/>
    <w:basedOn w:val="DefaultParagraphFont"/>
    <w:qFormat/>
    <w:rPr>
      <w:rFonts w:ascii="Arial" w:hAnsi="Arial" w:cs="Arial"/>
      <w:vanish/>
      <w:sz w:val="16"/>
      <w:szCs w:val="16"/>
    </w:rPr>
  </w:style>
  <w:style w:type="character" w:styleId="CharChar">
    <w:name w:val=" Char Char"/>
    <w:basedOn w:val="DefaultParagraphFont"/>
    <w:qFormat/>
    <w:rPr>
      <w:rFonts w:ascii="Arial" w:hAnsi="Arial" w:cs="Arial"/>
      <w:vanish/>
      <w:sz w:val="16"/>
      <w:szCs w:val="16"/>
    </w:rPr>
  </w:style>
  <w:style w:type="character" w:styleId="StrongEmphasis">
    <w:name w:val="Strong Emphasis"/>
    <w:basedOn w:val="DefaultParagraphFont"/>
    <w:qFormat/>
    <w:rPr>
      <w:rFonts w:cs="Times New Roman"/>
      <w:b/>
      <w:b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style>
  <w:style w:type="paragraph" w:styleId="Boxtitle">
    <w:name w:val="box-title"/>
    <w:basedOn w:val="Normal"/>
    <w:qFormat/>
    <w:pPr>
      <w:shd w:fill="E6E6E2" w:val="clear"/>
    </w:pPr>
    <w:rPr>
      <w:rFonts w:ascii="Arial" w:hAnsi="Arial" w:cs="Arial"/>
      <w:b/>
      <w:bCs/>
      <w:color w:val="333399"/>
      <w:sz w:val="18"/>
      <w:szCs w:val="18"/>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rs.usda.gov/Services/docs.htm?docid=12082" TargetMode="External"/><Relationship Id="rId3" Type="http://schemas.openxmlformats.org/officeDocument/2006/relationships/hyperlink" Target="http://www.ars.usda.gov/Services/docs.htm?docid=17558"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2009-10-28T18:29:00Z</dcterms:created>
  <dc:creator>mjp</dc:creator>
  <dc:description/>
  <cp:keywords/>
  <dc:language>en-US</dc:language>
  <cp:lastModifiedBy>Dean Jackman</cp:lastModifiedBy>
  <cp:lastPrinted>2009-05-06T09:54:00Z</cp:lastPrinted>
  <dcterms:modified xsi:type="dcterms:W3CDTF">2009-10-28T18:33:00Z</dcterms:modified>
  <cp:revision>3</cp:revision>
  <dc:subject/>
  <dc:title>Birthplace</dc:title>
</cp:coreProperties>
</file>