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Nutrition and Dietary Supplements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Healthy Eating Indices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Indices to determine diet quality.</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This protocol provides a list the commonly used eating indices.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Fransen and Ocke noted that “Indices of diet quality are predefined summary measures of overall diet quality and can be used as a simple and quick assessment of diet quality to evaluate the adherence to dietary guidelines and to monitor overall dietary changes.”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Below is a list of some commonly used diet quality indices:</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b/>
                <w:sz w:val="22"/>
                <w:szCs w:val="22"/>
              </w:rPr>
              <w:t>Dietary Guidelines for Americans Adherence Index: (DGAI)</w:t>
            </w:r>
            <w:r>
              <w:rPr>
                <w:rFonts w:cs="Arial" w:ascii="Arial" w:hAnsi="Arial"/>
                <w:sz w:val="22"/>
                <w:szCs w:val="22"/>
              </w:rPr>
              <w:t xml:space="preserve"> based the 2005 the Dietary Guidelines for Americans.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b/>
                <w:sz w:val="22"/>
                <w:szCs w:val="22"/>
              </w:rPr>
              <w:t>Diet Guidelines Index (DGI)</w:t>
            </w:r>
            <w:r>
              <w:rPr>
                <w:rFonts w:cs="Arial" w:ascii="Arial" w:hAnsi="Arial"/>
                <w:sz w:val="22"/>
                <w:szCs w:val="22"/>
              </w:rPr>
              <w:t xml:space="preserve"> based on the Dietary Guidelines for Americans (5</w:t>
            </w:r>
            <w:r>
              <w:rPr>
                <w:rFonts w:cs="Arial" w:ascii="Arial" w:hAnsi="Arial"/>
                <w:sz w:val="22"/>
                <w:szCs w:val="22"/>
                <w:vertAlign w:val="superscript"/>
              </w:rPr>
              <w:t>th</w:t>
            </w:r>
            <w:r>
              <w:rPr>
                <w:rFonts w:cs="Arial" w:ascii="Arial" w:hAnsi="Arial"/>
                <w:sz w:val="22"/>
                <w:szCs w:val="22"/>
              </w:rPr>
              <w:t xml:space="preserve"> ed.) and the dietary recommendations by National Research Council’s Committee on Diet and Health.</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b/>
                <w:sz w:val="22"/>
                <w:szCs w:val="22"/>
              </w:rPr>
              <w:t>Diet Quality Index Revised (DQI-R)</w:t>
            </w:r>
            <w:r>
              <w:rPr>
                <w:rFonts w:cs="Arial" w:ascii="Arial" w:hAnsi="Arial"/>
                <w:sz w:val="22"/>
                <w:szCs w:val="22"/>
              </w:rPr>
              <w:t xml:space="preserve"> based on Dietary guidelines: the 1992 Food Guide Pyramid, the 1995 Dietary Guidelines for Americans</w:t>
            </w:r>
          </w:p>
          <w:p>
            <w:pPr>
              <w:pStyle w:val="Normal"/>
              <w:rPr>
                <w:rFonts w:ascii="Arial" w:hAnsi="Arial" w:cs="Arial"/>
                <w:sz w:val="22"/>
                <w:szCs w:val="22"/>
              </w:rPr>
            </w:pPr>
            <w:r>
              <w:rPr>
                <w:rFonts w:cs="Arial" w:ascii="Arial" w:hAnsi="Arial"/>
                <w:sz w:val="22"/>
                <w:szCs w:val="22"/>
              </w:rPr>
            </w:r>
          </w:p>
          <w:p>
            <w:pPr>
              <w:pStyle w:val="Normal"/>
              <w:autoSpaceDE w:val="false"/>
              <w:rPr/>
            </w:pPr>
            <w:r>
              <w:rPr>
                <w:rFonts w:cs="Arial" w:ascii="Arial" w:hAnsi="Arial"/>
                <w:b/>
                <w:sz w:val="22"/>
                <w:szCs w:val="22"/>
              </w:rPr>
              <w:t>Dietary Variety Score (DVS)</w:t>
            </w:r>
            <w:r>
              <w:rPr>
                <w:rFonts w:cs="Arial" w:ascii="Arial" w:hAnsi="Arial"/>
                <w:sz w:val="22"/>
                <w:szCs w:val="22"/>
              </w:rPr>
              <w:t xml:space="preserve"> based on the Diet Quality Index. </w:t>
            </w:r>
          </w:p>
          <w:p>
            <w:pPr>
              <w:pStyle w:val="Normal"/>
              <w:rPr>
                <w:rFonts w:ascii="Arial" w:hAnsi="Arial" w:cs="Arial"/>
                <w:sz w:val="22"/>
                <w:szCs w:val="22"/>
              </w:rPr>
            </w:pPr>
            <w:r>
              <w:rPr>
                <w:rFonts w:cs="Arial" w:ascii="Arial" w:hAnsi="Arial"/>
                <w:sz w:val="22"/>
                <w:szCs w:val="22"/>
              </w:rPr>
            </w:r>
          </w:p>
          <w:p>
            <w:pPr>
              <w:pStyle w:val="Normal"/>
              <w:autoSpaceDE w:val="false"/>
              <w:rPr/>
            </w:pPr>
            <w:r>
              <w:rPr>
                <w:rFonts w:cs="Arial" w:ascii="Arial" w:hAnsi="Arial"/>
                <w:b/>
                <w:sz w:val="22"/>
                <w:szCs w:val="22"/>
              </w:rPr>
              <w:t>Dietary Variety Score for Recommended Foods (DVSR)</w:t>
            </w:r>
            <w:r>
              <w:rPr>
                <w:rFonts w:cs="Arial" w:ascii="Arial" w:hAnsi="Arial"/>
                <w:sz w:val="22"/>
                <w:szCs w:val="22"/>
              </w:rPr>
              <w:t xml:space="preserve"> is used to examine the extent of consumption of foods recommended in current dietary guidance.</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b/>
                <w:sz w:val="22"/>
                <w:szCs w:val="22"/>
              </w:rPr>
              <w:t>Healthy Diet Indicator (HDI)</w:t>
            </w:r>
            <w:r>
              <w:rPr>
                <w:rFonts w:cs="Arial" w:ascii="Arial" w:hAnsi="Arial"/>
                <w:sz w:val="22"/>
                <w:szCs w:val="22"/>
              </w:rPr>
              <w:t xml:space="preserve"> based on the 1990 WHO dietary guidelines for the prevention of chronic diseases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b/>
                <w:sz w:val="22"/>
                <w:szCs w:val="22"/>
              </w:rPr>
              <w:t>Healthy Eating Index (HEI)</w:t>
            </w:r>
            <w:r>
              <w:rPr>
                <w:rFonts w:cs="Arial" w:ascii="Arial" w:hAnsi="Arial"/>
                <w:sz w:val="22"/>
                <w:szCs w:val="22"/>
              </w:rPr>
              <w:t xml:space="preserve"> based on the Dietary Guidelines for Americans, Food Guide Pyramid.</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b/>
                <w:sz w:val="22"/>
                <w:szCs w:val="22"/>
              </w:rPr>
              <w:t xml:space="preserve">Healthy Food Index (HFI) </w:t>
            </w:r>
            <w:r>
              <w:rPr>
                <w:rFonts w:cs="Arial" w:ascii="Arial" w:hAnsi="Arial"/>
                <w:sz w:val="22"/>
                <w:szCs w:val="22"/>
              </w:rPr>
              <w:t>based on current recommendations for a healthy diet and previous indices of overall diet quality.</w:t>
            </w:r>
          </w:p>
          <w:p>
            <w:pPr>
              <w:pStyle w:val="Normal"/>
              <w:rPr>
                <w:rFonts w:ascii="Arial" w:hAnsi="Arial" w:cs="Arial"/>
                <w:sz w:val="22"/>
                <w:szCs w:val="22"/>
              </w:rPr>
            </w:pPr>
            <w:r>
              <w:rPr>
                <w:rFonts w:cs="Arial" w:ascii="Arial" w:hAnsi="Arial"/>
                <w:sz w:val="22"/>
                <w:szCs w:val="22"/>
              </w:rPr>
            </w:r>
          </w:p>
          <w:p>
            <w:pPr>
              <w:pStyle w:val="Normal"/>
              <w:autoSpaceDE w:val="false"/>
              <w:rPr/>
            </w:pPr>
            <w:r>
              <w:rPr>
                <w:rFonts w:cs="Arial" w:ascii="Arial" w:hAnsi="Arial"/>
                <w:b/>
                <w:sz w:val="22"/>
                <w:szCs w:val="22"/>
              </w:rPr>
              <w:t>Naturally Nutrient Rich Score (NNR)</w:t>
            </w:r>
            <w:r>
              <w:rPr>
                <w:rFonts w:cs="Arial" w:ascii="Arial" w:hAnsi="Arial"/>
                <w:sz w:val="22"/>
                <w:szCs w:val="22"/>
              </w:rPr>
              <w:t xml:space="preserve"> is based on mean percentage daily values (DVs) for 14 nutrients in 2000 kcal food.</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b/>
                <w:sz w:val="22"/>
                <w:szCs w:val="22"/>
              </w:rPr>
              <w:t>Recommended Food Score (RFS)</w:t>
            </w:r>
            <w:r>
              <w:rPr>
                <w:rFonts w:cs="Arial" w:ascii="Arial" w:hAnsi="Arial"/>
                <w:sz w:val="22"/>
                <w:szCs w:val="22"/>
              </w:rPr>
              <w:t xml:space="preserve"> based on reported consumption of foods recommended by current dietary guidelines and is similar to the dietary variety score.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pPr>
            <w:r>
              <w:rPr>
                <w:rFonts w:cs="Arial" w:ascii="Arial" w:hAnsi="Arial"/>
                <w:b/>
                <w:sz w:val="22"/>
                <w:szCs w:val="22"/>
              </w:rPr>
              <w:t>Recommended Food and Behavior Score (RFBS)</w:t>
            </w:r>
            <w:r>
              <w:rPr>
                <w:rFonts w:cs="Arial" w:ascii="Arial" w:hAnsi="Arial"/>
                <w:sz w:val="22"/>
                <w:szCs w:val="22"/>
              </w:rPr>
              <w:t xml:space="preserve"> based on reported consumption of foods recommended by current dietary guidelines and is similar to the dietary variety score.</w:t>
            </w:r>
          </w:p>
          <w:p>
            <w:pPr>
              <w:pStyle w:val="Normal"/>
              <w:autoSpaceDE w:val="false"/>
              <w:rPr>
                <w:rFonts w:ascii="Arial" w:hAnsi="Arial" w:cs="Arial"/>
                <w:sz w:val="22"/>
                <w:szCs w:val="22"/>
              </w:rPr>
            </w:pPr>
            <w:r>
              <w:rPr>
                <w:rFonts w:cs="Arial" w:ascii="Arial" w:hAnsi="Arial"/>
                <w:sz w:val="22"/>
                <w:szCs w:val="22"/>
              </w:rPr>
            </w:r>
          </w:p>
          <w:p>
            <w:pPr>
              <w:pStyle w:val="Normal"/>
              <w:autoSpaceDE w:val="false"/>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t>Indices for special groups:</w:t>
            </w:r>
          </w:p>
          <w:p>
            <w:pPr>
              <w:pStyle w:val="Normal"/>
              <w:rPr>
                <w:rFonts w:ascii="Arial" w:hAnsi="Arial" w:cs="Arial"/>
                <w:b/>
                <w:b/>
                <w:sz w:val="22"/>
                <w:szCs w:val="22"/>
              </w:rPr>
            </w:pPr>
            <w:r>
              <w:rPr>
                <w:rFonts w:cs="Arial" w:ascii="Arial" w:hAnsi="Arial"/>
                <w:b/>
                <w:sz w:val="22"/>
                <w:szCs w:val="22"/>
              </w:rPr>
            </w:r>
          </w:p>
          <w:p>
            <w:pPr>
              <w:pStyle w:val="Normal"/>
              <w:rPr/>
            </w:pPr>
            <w:r>
              <w:rPr>
                <w:rFonts w:cs="Arial" w:ascii="Arial" w:hAnsi="Arial"/>
                <w:sz w:val="22"/>
                <w:szCs w:val="22"/>
              </w:rPr>
              <w:t xml:space="preserve">Currently the Revised Children’s Diet Quality Index, based on US dietary intake recommendations, is available.  This index was developed by Kranz et al. The index is based on US dietary intake recommendations and consists of 13 dietary components.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Bodnar and Siega-Riz developed the Dietary Quality index for pregnancy (DQI-P). This index contains 10 components. A recent study applied this index to a population of low-income women in North Dakota, including native and white American pregnant women.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An individual age 18 or older. May be asked of children via a proxy.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1. Fransen, H.P., Ocke, M.C. (2008).Indices of diet quality. Current Opinion in Clinical Nutrition and Metabolic Care, 11, 559-565.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 Arvaniti, F., Panagiotakos, D.B. (2008). Healthy Indexes in Public Health Practice and Research: A Review. Crit Rev in Food Science Nutr, 48, 317-327.</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3. Waijers, P.M., Feskens, E.J., Ocke, M.C. (2007). A critical review of predefined diet quality scores. Br J Nutr, 97, 219-231.</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4. Bodnar, L.M., Siega-Riz, A.M. (2002). A Diet Quality Index for Pregnancy detects variation in diet and differences by sociodemographic factors. Public Health Nutr, 5, 801-809.</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5. Kranz, S., Hartman, T., Siega-Riz, A.M., Hering, A.H. (2006) A diet quality index for American preschoolers based on current dietary intake recommendations and an indicator of energy balance. J Am Diet Assoc, 106, 1594-1604.</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6. Kranz, S., Findeis, J.L., Shrestha, S.S. (2008) Use of the Revised Children’s Diet Quality Index to assess preschooler’s diet quality, its sociodemographic predictors, and its association with body weight status. J Pediatr (Rio J), 84, 26-34.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highlight w:val="yellow"/>
              </w:rPr>
            </w:pPr>
            <w:r>
              <w:rPr>
                <w:rFonts w:cs="Arial" w:ascii="Arial" w:hAnsi="Arial"/>
                <w:sz w:val="22"/>
                <w:szCs w:val="22"/>
              </w:rPr>
              <w:t xml:space="preserve">7. Fogli-Cawley, J.J., Dwyer, J.T., Saltzman, E., McCullough, M.L., Troy, L.M., Jacques, P.F. (2006) The 2005 dietary guidelines for americans adherence index: development and application. </w:t>
            </w:r>
            <w:r>
              <w:rPr>
                <w:rFonts w:cs="Arial" w:ascii="Arial" w:hAnsi="Arial"/>
                <w:i/>
                <w:iCs/>
                <w:sz w:val="22"/>
                <w:szCs w:val="22"/>
              </w:rPr>
              <w:t>J. Nutr</w:t>
            </w:r>
            <w:r>
              <w:rPr>
                <w:rFonts w:cs="Arial" w:ascii="Arial" w:hAnsi="Arial"/>
                <w:sz w:val="22"/>
                <w:szCs w:val="22"/>
              </w:rPr>
              <w:t xml:space="preserve"> 136: 2908-2915.</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of 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1. United States Department of Agriculture, Centers for Nutrition Policy and Promotion. </w:t>
            </w:r>
          </w:p>
          <w:p>
            <w:pPr>
              <w:pStyle w:val="Normal"/>
              <w:rPr>
                <w:rFonts w:ascii="Arial" w:hAnsi="Arial" w:cs="Arial"/>
                <w:sz w:val="22"/>
                <w:szCs w:val="22"/>
              </w:rPr>
            </w:pPr>
            <w:r>
              <w:rPr>
                <w:rFonts w:cs="Arial" w:ascii="Arial" w:hAnsi="Arial"/>
                <w:sz w:val="22"/>
                <w:szCs w:val="22"/>
              </w:rPr>
              <w:t>Healthy Eating Index-2005 Fact Sheet.</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2. Fogli-Cawley, J., Dwyer, J., Saltzman, E., McCullough, E., Troy, L. (2006). The 2005 dietary guidelines for americans and insulin resistance in the framingham offspring cohort. </w:t>
            </w:r>
            <w:r>
              <w:rPr>
                <w:rFonts w:cs="Arial" w:ascii="Arial" w:hAnsi="Arial"/>
                <w:i/>
                <w:iCs/>
                <w:sz w:val="22"/>
                <w:szCs w:val="22"/>
              </w:rPr>
              <w:t>Diabetes Care</w:t>
            </w:r>
            <w:r>
              <w:rPr>
                <w:rFonts w:cs="Arial" w:ascii="Arial" w:hAnsi="Arial"/>
                <w:sz w:val="22"/>
                <w:szCs w:val="22"/>
              </w:rPr>
              <w:t>, 30(4), 817-822.</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3. Fogli-Cawley, J.J., Dwyer, J.T., Saltzman, E., McCullough, M.L., Troy, L.M., Meigs, J.B., Jacques, P.F. (2007) The 2005 Dietary Guidelines for Americans and risk of the metabolic syndrome. </w:t>
            </w:r>
            <w:r>
              <w:rPr>
                <w:rFonts w:cs="Arial" w:ascii="Arial" w:hAnsi="Arial"/>
                <w:i/>
                <w:iCs/>
                <w:sz w:val="22"/>
                <w:szCs w:val="22"/>
              </w:rPr>
              <w:t>Am. J Clin Nutr</w:t>
            </w:r>
            <w:r>
              <w:rPr>
                <w:rFonts w:cs="Arial" w:ascii="Arial" w:hAnsi="Arial"/>
                <w:sz w:val="22"/>
                <w:szCs w:val="22"/>
              </w:rPr>
              <w:t xml:space="preserve"> 86:1193-201.</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ind w:hanging="4"/>
              <w:rPr/>
            </w:pPr>
            <w:r>
              <w:rPr>
                <w:rFonts w:cs="Arial" w:ascii="Arial" w:hAnsi="Arial"/>
                <w:sz w:val="22"/>
                <w:szCs w:val="22"/>
              </w:rPr>
              <w:t xml:space="preserve">The </w:t>
            </w:r>
            <w:hyperlink r:id="rId2">
              <w:r>
                <w:rPr>
                  <w:rStyle w:val="InternetLink"/>
                  <w:rFonts w:cs="Arial" w:ascii="Arial" w:hAnsi="Arial"/>
                  <w:sz w:val="22"/>
                  <w:szCs w:val="22"/>
                </w:rPr>
                <w:t>Expert Review Panel #1</w:t>
              </w:r>
            </w:hyperlink>
            <w:r>
              <w:rPr>
                <w:rFonts w:cs="Arial" w:ascii="Arial" w:hAnsi="Arial"/>
                <w:sz w:val="22"/>
                <w:szCs w:val="22"/>
              </w:rPr>
              <w:t xml:space="preserve"> reviewed the measures in the Anthropometrics, Diabetes, Physical Activity and Physical Fitness, and Nutrition and Dietary Supplements domains. </w:t>
            </w:r>
          </w:p>
          <w:p>
            <w:pPr>
              <w:pStyle w:val="Normal"/>
              <w:ind w:firstLine="1076"/>
              <w:rPr>
                <w:rFonts w:ascii="Arial" w:hAnsi="Arial" w:cs="Arial"/>
                <w:sz w:val="22"/>
                <w:szCs w:val="22"/>
              </w:rPr>
            </w:pPr>
            <w:r>
              <w:rPr>
                <w:rFonts w:cs="Arial" w:ascii="Arial" w:hAnsi="Arial"/>
                <w:sz w:val="22"/>
                <w:szCs w:val="22"/>
              </w:rPr>
            </w:r>
          </w:p>
          <w:p>
            <w:pPr>
              <w:pStyle w:val="Normal"/>
              <w:ind w:firstLine="266"/>
              <w:rPr>
                <w:rFonts w:ascii="Arial" w:hAnsi="Arial" w:cs="Arial"/>
                <w:sz w:val="22"/>
                <w:szCs w:val="22"/>
              </w:rPr>
            </w:pPr>
            <w:r>
              <w:rPr>
                <w:rFonts w:cs="Arial" w:ascii="Arial" w:hAnsi="Arial"/>
                <w:sz w:val="22"/>
                <w:szCs w:val="22"/>
              </w:rPr>
              <w:t>Guidance from the ERP includes:</w:t>
            </w:r>
          </w:p>
          <w:p>
            <w:pPr>
              <w:pStyle w:val="Normal"/>
              <w:numPr>
                <w:ilvl w:val="0"/>
                <w:numId w:val="1"/>
              </w:numP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 significant changes to measure</w:t>
            </w:r>
          </w:p>
          <w:p>
            <w:pPr>
              <w:pStyle w:val="Normal"/>
              <w:spacing w:before="0" w:after="0"/>
              <w:contextualSpacing/>
              <w:rPr>
                <w:rFonts w:ascii="Arial" w:hAnsi="Arial" w:cs="Arial"/>
                <w:sz w:val="22"/>
                <w:szCs w:val="22"/>
              </w:rPr>
            </w:pPr>
            <w:r>
              <w:rPr>
                <w:rFonts w:cs="Arial" w:ascii="Arial" w:hAnsi="Arial"/>
                <w:sz w:val="22"/>
                <w:szCs w:val="22"/>
              </w:rPr>
            </w:r>
          </w:p>
        </w:tc>
      </w:tr>
    </w:tbl>
    <w:p>
      <w:pPr>
        <w:pStyle w:val="Normal"/>
        <w:spacing w:before="0" w:after="0"/>
        <w:contextualSpacing/>
        <w:rPr/>
      </w:pPr>
      <w:r>
        <w:rPr/>
      </w:r>
    </w:p>
    <w:sectPr>
      <w:headerReference w:type="default" r:id="rId3"/>
      <w:footerReference w:type="default" r:id="rId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Healthy Eating Indices</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Nutrition and Dietary Supplements </w:t>
    </w:r>
  </w:p>
  <w:p>
    <w:pPr>
      <w:pStyle w:val="Normal"/>
      <w:rPr>
        <w:rFonts w:ascii="Arial" w:hAnsi="Arial" w:cs="Arial"/>
        <w:b/>
        <w:b/>
        <w:sz w:val="20"/>
        <w:szCs w:val="20"/>
      </w:rPr>
    </w:pPr>
    <w:r>
      <w:rPr>
        <w:rFonts w:cs="Arial" w:ascii="Arial" w:hAnsi="Arial"/>
        <w:b/>
        <w:sz w:val="20"/>
        <w:szCs w:val="20"/>
      </w:rPr>
      <w:t>Release Date: 10/1/2015</w:t>
    </w:r>
  </w:p>
  <w:p>
    <w:pPr>
      <w:pStyle w:val="Normal"/>
      <w:rPr/>
    </w:pPr>
    <w:r>
      <w:rPr>
        <w:rFonts w:cs="Arial" w:ascii="Arial" w:hAnsi="Arial"/>
        <w:b/>
        <w:sz w:val="20"/>
        <w:szCs w:val="20"/>
      </w:rPr>
      <w:t>Healthy Eating Indices</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86"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henx.org/Default.aspx?tabid=87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2015-08-25T19:37:00Z</dcterms:created>
  <dc:creator>whuggins</dc:creator>
  <dc:description/>
  <cp:keywords/>
  <dc:language>en-US</dc:language>
  <cp:lastModifiedBy>Phillips, Michael J.</cp:lastModifiedBy>
  <cp:lastPrinted>2009-03-24T15:13:00Z</cp:lastPrinted>
  <dcterms:modified xsi:type="dcterms:W3CDTF">2015-09-29T18:21:00Z</dcterms:modified>
  <cp:revision>5</cp:revision>
  <dc:subject/>
  <dc:title/>
</cp:coreProperties>
</file>